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B0A" w:rsidRDefault="00391B0A" w:rsidP="00846C9E"/>
    <w:p w:rsidR="00391B0A" w:rsidRDefault="00391B0A" w:rsidP="00846C9E"/>
    <w:p w:rsidR="00391B0A" w:rsidRDefault="00391B0A" w:rsidP="00967A1F">
      <w:pPr>
        <w:pStyle w:val="Sansinterligne"/>
        <w:jc w:val="center"/>
        <w:rPr>
          <w:b/>
          <w:sz w:val="44"/>
        </w:rPr>
      </w:pPr>
      <w:r w:rsidRPr="00967A1F">
        <w:rPr>
          <w:b/>
          <w:sz w:val="44"/>
        </w:rPr>
        <w:t xml:space="preserve">Règlement budgétaire et financier </w:t>
      </w:r>
      <w:r w:rsidR="006E4CCE" w:rsidRPr="00967A1F">
        <w:rPr>
          <w:b/>
          <w:sz w:val="44"/>
        </w:rPr>
        <w:br/>
      </w:r>
      <w:r w:rsidRPr="00967A1F">
        <w:rPr>
          <w:b/>
          <w:sz w:val="44"/>
        </w:rPr>
        <w:t>de la Ville et du CCAS de Sotteville-lès-Rouen</w:t>
      </w:r>
    </w:p>
    <w:p w:rsidR="00BA1884" w:rsidRDefault="00BA1884" w:rsidP="00967A1F">
      <w:pPr>
        <w:pStyle w:val="Sansinterligne"/>
        <w:jc w:val="center"/>
        <w:rPr>
          <w:b/>
          <w:sz w:val="44"/>
        </w:rPr>
      </w:pPr>
      <w:r>
        <w:rPr>
          <w:b/>
          <w:sz w:val="44"/>
        </w:rPr>
        <w:t>2026-2032</w:t>
      </w:r>
    </w:p>
    <w:p w:rsidR="004B4203" w:rsidRDefault="004B4203" w:rsidP="00967A1F">
      <w:pPr>
        <w:pStyle w:val="Sansinterligne"/>
        <w:jc w:val="center"/>
        <w:rPr>
          <w:b/>
          <w:sz w:val="44"/>
        </w:rPr>
      </w:pPr>
    </w:p>
    <w:p w:rsidR="004B4203" w:rsidRDefault="004B4203" w:rsidP="00967A1F">
      <w:pPr>
        <w:pStyle w:val="Sansinterligne"/>
        <w:jc w:val="center"/>
        <w:rPr>
          <w:b/>
          <w:sz w:val="44"/>
        </w:rPr>
      </w:pPr>
    </w:p>
    <w:p w:rsidR="004B4203" w:rsidRPr="00967A1F" w:rsidRDefault="004B4203" w:rsidP="00967A1F">
      <w:pPr>
        <w:pStyle w:val="Sansinterligne"/>
        <w:jc w:val="center"/>
        <w:rPr>
          <w:b/>
          <w:sz w:val="44"/>
        </w:rPr>
      </w:pPr>
    </w:p>
    <w:p w:rsidR="00391B0A" w:rsidRDefault="004B4203" w:rsidP="004B4203">
      <w:pPr>
        <w:jc w:val="center"/>
      </w:pPr>
      <w:r>
        <w:rPr>
          <w:noProof/>
          <w:lang w:eastAsia="fr-FR"/>
        </w:rPr>
        <w:drawing>
          <wp:inline distT="0" distB="0" distL="0" distR="0">
            <wp:extent cx="4890977" cy="3490997"/>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otteville ROSE 2025 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6079" cy="3494638"/>
                    </a:xfrm>
                    <a:prstGeom prst="rect">
                      <a:avLst/>
                    </a:prstGeom>
                  </pic:spPr>
                </pic:pic>
              </a:graphicData>
            </a:graphic>
          </wp:inline>
        </w:drawing>
      </w:r>
      <w:r w:rsidR="00391B0A">
        <w:br w:type="page"/>
      </w:r>
    </w:p>
    <w:p w:rsidR="002F3D6F" w:rsidRDefault="002F3D6F" w:rsidP="00846C9E"/>
    <w:p w:rsidR="00D04E27" w:rsidRDefault="00D04E27" w:rsidP="00846C9E"/>
    <w:p w:rsidR="00E02FDB" w:rsidRPr="00E02FDB" w:rsidRDefault="009820DB" w:rsidP="00E02FDB">
      <w:r>
        <w:br w:type="page"/>
      </w:r>
      <w:bookmarkStart w:id="0" w:name="_Toc144372007"/>
      <w:bookmarkStart w:id="1" w:name="_Toc144807519"/>
      <w:bookmarkStart w:id="2" w:name="_Toc144807766"/>
    </w:p>
    <w:sdt>
      <w:sdtPr>
        <w:rPr>
          <w:rFonts w:asciiTheme="minorHAnsi" w:eastAsiaTheme="minorHAnsi" w:hAnsiTheme="minorHAnsi" w:cstheme="minorBidi"/>
          <w:b w:val="0"/>
          <w:bCs w:val="0"/>
          <w:color w:val="auto"/>
          <w:sz w:val="22"/>
          <w:szCs w:val="22"/>
          <w:lang w:eastAsia="en-US"/>
        </w:rPr>
        <w:id w:val="578103576"/>
        <w:docPartObj>
          <w:docPartGallery w:val="Table of Contents"/>
          <w:docPartUnique/>
        </w:docPartObj>
      </w:sdtPr>
      <w:sdtEndPr/>
      <w:sdtContent>
        <w:p w:rsidR="00E02FDB" w:rsidRDefault="00E02FDB">
          <w:pPr>
            <w:pStyle w:val="En-ttedetabledesmatires"/>
          </w:pPr>
          <w:r>
            <w:t>Contenu</w:t>
          </w:r>
        </w:p>
        <w:bookmarkStart w:id="3" w:name="_GoBack"/>
        <w:bookmarkEnd w:id="3"/>
        <w:p w:rsidR="00103E83" w:rsidRDefault="00E02FDB">
          <w:pPr>
            <w:pStyle w:val="TM1"/>
            <w:tabs>
              <w:tab w:val="right" w:leader="dot" w:pos="9060"/>
            </w:tabs>
            <w:rPr>
              <w:rFonts w:eastAsiaTheme="minorEastAsia" w:cstheme="minorBidi"/>
              <w:b w:val="0"/>
              <w:bCs w:val="0"/>
              <w:caps w:val="0"/>
              <w:noProof/>
              <w:sz w:val="22"/>
              <w:szCs w:val="22"/>
              <w:lang w:eastAsia="fr-FR"/>
            </w:rPr>
          </w:pPr>
          <w:r>
            <w:fldChar w:fldCharType="begin"/>
          </w:r>
          <w:r>
            <w:instrText xml:space="preserve"> TOC \o "1-3" \h \z \u </w:instrText>
          </w:r>
          <w:r>
            <w:fldChar w:fldCharType="separate"/>
          </w:r>
          <w:hyperlink w:anchor="_Toc225785273" w:history="1">
            <w:r w:rsidR="00103E83" w:rsidRPr="003D6FBE">
              <w:rPr>
                <w:rStyle w:val="Lienhypertexte"/>
                <w:noProof/>
              </w:rPr>
              <w:t>Introduction</w:t>
            </w:r>
            <w:r w:rsidR="00103E83">
              <w:rPr>
                <w:noProof/>
                <w:webHidden/>
              </w:rPr>
              <w:tab/>
            </w:r>
            <w:r w:rsidR="00103E83">
              <w:rPr>
                <w:noProof/>
                <w:webHidden/>
              </w:rPr>
              <w:fldChar w:fldCharType="begin"/>
            </w:r>
            <w:r w:rsidR="00103E83">
              <w:rPr>
                <w:noProof/>
                <w:webHidden/>
              </w:rPr>
              <w:instrText xml:space="preserve"> PAGEREF _Toc225785273 \h </w:instrText>
            </w:r>
            <w:r w:rsidR="00103E83">
              <w:rPr>
                <w:noProof/>
                <w:webHidden/>
              </w:rPr>
            </w:r>
            <w:r w:rsidR="00103E83">
              <w:rPr>
                <w:noProof/>
                <w:webHidden/>
              </w:rPr>
              <w:fldChar w:fldCharType="separate"/>
            </w:r>
            <w:r w:rsidR="00103E83">
              <w:rPr>
                <w:noProof/>
                <w:webHidden/>
              </w:rPr>
              <w:t>5</w:t>
            </w:r>
            <w:r w:rsidR="00103E83">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274" w:history="1">
            <w:r w:rsidRPr="003D6FBE">
              <w:rPr>
                <w:rStyle w:val="Lienhypertexte"/>
                <w:noProof/>
              </w:rPr>
              <w:t>01 Définition, principes et cadre réglementaire</w:t>
            </w:r>
            <w:r>
              <w:rPr>
                <w:noProof/>
                <w:webHidden/>
              </w:rPr>
              <w:tab/>
            </w:r>
            <w:r>
              <w:rPr>
                <w:noProof/>
                <w:webHidden/>
              </w:rPr>
              <w:fldChar w:fldCharType="begin"/>
            </w:r>
            <w:r>
              <w:rPr>
                <w:noProof/>
                <w:webHidden/>
              </w:rPr>
              <w:instrText xml:space="preserve"> PAGEREF _Toc225785274 \h </w:instrText>
            </w:r>
            <w:r>
              <w:rPr>
                <w:noProof/>
                <w:webHidden/>
              </w:rPr>
            </w:r>
            <w:r>
              <w:rPr>
                <w:noProof/>
                <w:webHidden/>
              </w:rPr>
              <w:fldChar w:fldCharType="separate"/>
            </w:r>
            <w:r>
              <w:rPr>
                <w:noProof/>
                <w:webHidden/>
              </w:rPr>
              <w:t>6</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275" w:history="1">
            <w:r w:rsidRPr="003D6FBE">
              <w:rPr>
                <w:rStyle w:val="Lienhypertexte"/>
                <w:noProof/>
              </w:rPr>
              <w:t>02 Les actes budgétaires</w:t>
            </w:r>
            <w:r>
              <w:rPr>
                <w:noProof/>
                <w:webHidden/>
              </w:rPr>
              <w:tab/>
            </w:r>
            <w:r>
              <w:rPr>
                <w:noProof/>
                <w:webHidden/>
              </w:rPr>
              <w:fldChar w:fldCharType="begin"/>
            </w:r>
            <w:r>
              <w:rPr>
                <w:noProof/>
                <w:webHidden/>
              </w:rPr>
              <w:instrText xml:space="preserve"> PAGEREF _Toc225785275 \h </w:instrText>
            </w:r>
            <w:r>
              <w:rPr>
                <w:noProof/>
                <w:webHidden/>
              </w:rPr>
            </w:r>
            <w:r>
              <w:rPr>
                <w:noProof/>
                <w:webHidden/>
              </w:rPr>
              <w:fldChar w:fldCharType="separate"/>
            </w:r>
            <w:r>
              <w:rPr>
                <w:noProof/>
                <w:webHidden/>
              </w:rPr>
              <w:t>7</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276" w:history="1">
            <w:r w:rsidRPr="003D6FBE">
              <w:rPr>
                <w:rStyle w:val="Lienhypertexte"/>
                <w:noProof/>
              </w:rPr>
              <w:t>03 Contraintes calendaires et cycle budgétaire à Sotteville-lès-Rouen</w:t>
            </w:r>
            <w:r>
              <w:rPr>
                <w:noProof/>
                <w:webHidden/>
              </w:rPr>
              <w:tab/>
            </w:r>
            <w:r>
              <w:rPr>
                <w:noProof/>
                <w:webHidden/>
              </w:rPr>
              <w:fldChar w:fldCharType="begin"/>
            </w:r>
            <w:r>
              <w:rPr>
                <w:noProof/>
                <w:webHidden/>
              </w:rPr>
              <w:instrText xml:space="preserve"> PAGEREF _Toc225785276 \h </w:instrText>
            </w:r>
            <w:r>
              <w:rPr>
                <w:noProof/>
                <w:webHidden/>
              </w:rPr>
            </w:r>
            <w:r>
              <w:rPr>
                <w:noProof/>
                <w:webHidden/>
              </w:rPr>
              <w:fldChar w:fldCharType="separate"/>
            </w:r>
            <w:r>
              <w:rPr>
                <w:noProof/>
                <w:webHidden/>
              </w:rPr>
              <w:t>8</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277" w:history="1">
            <w:r w:rsidRPr="003D6FBE">
              <w:rPr>
                <w:rStyle w:val="Lienhypertexte"/>
                <w:noProof/>
              </w:rPr>
              <w:t>04 Les orientations budgétaires</w:t>
            </w:r>
            <w:r>
              <w:rPr>
                <w:noProof/>
                <w:webHidden/>
              </w:rPr>
              <w:tab/>
            </w:r>
            <w:r>
              <w:rPr>
                <w:noProof/>
                <w:webHidden/>
              </w:rPr>
              <w:fldChar w:fldCharType="begin"/>
            </w:r>
            <w:r>
              <w:rPr>
                <w:noProof/>
                <w:webHidden/>
              </w:rPr>
              <w:instrText xml:space="preserve"> PAGEREF _Toc225785277 \h </w:instrText>
            </w:r>
            <w:r>
              <w:rPr>
                <w:noProof/>
                <w:webHidden/>
              </w:rPr>
            </w:r>
            <w:r>
              <w:rPr>
                <w:noProof/>
                <w:webHidden/>
              </w:rPr>
              <w:fldChar w:fldCharType="separate"/>
            </w:r>
            <w:r>
              <w:rPr>
                <w:noProof/>
                <w:webHidden/>
              </w:rPr>
              <w:t>9</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278" w:history="1">
            <w:r w:rsidRPr="003D6FBE">
              <w:rPr>
                <w:rStyle w:val="Lienhypertexte"/>
                <w:noProof/>
              </w:rPr>
              <w:t>05 Les règles de l’équilibre budgétaire</w:t>
            </w:r>
            <w:r>
              <w:rPr>
                <w:noProof/>
                <w:webHidden/>
              </w:rPr>
              <w:tab/>
            </w:r>
            <w:r>
              <w:rPr>
                <w:noProof/>
                <w:webHidden/>
              </w:rPr>
              <w:fldChar w:fldCharType="begin"/>
            </w:r>
            <w:r>
              <w:rPr>
                <w:noProof/>
                <w:webHidden/>
              </w:rPr>
              <w:instrText xml:space="preserve"> PAGEREF _Toc225785278 \h </w:instrText>
            </w:r>
            <w:r>
              <w:rPr>
                <w:noProof/>
                <w:webHidden/>
              </w:rPr>
            </w:r>
            <w:r>
              <w:rPr>
                <w:noProof/>
                <w:webHidden/>
              </w:rPr>
              <w:fldChar w:fldCharType="separate"/>
            </w:r>
            <w:r>
              <w:rPr>
                <w:noProof/>
                <w:webHidden/>
              </w:rPr>
              <w:t>10</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279" w:history="1">
            <w:r w:rsidRPr="003D6FBE">
              <w:rPr>
                <w:rStyle w:val="Lienhypertexte"/>
                <w:noProof/>
              </w:rPr>
              <w:t>06 Modalités de vote du budget</w:t>
            </w:r>
            <w:r>
              <w:rPr>
                <w:noProof/>
                <w:webHidden/>
              </w:rPr>
              <w:tab/>
            </w:r>
            <w:r>
              <w:rPr>
                <w:noProof/>
                <w:webHidden/>
              </w:rPr>
              <w:fldChar w:fldCharType="begin"/>
            </w:r>
            <w:r>
              <w:rPr>
                <w:noProof/>
                <w:webHidden/>
              </w:rPr>
              <w:instrText xml:space="preserve"> PAGEREF _Toc225785279 \h </w:instrText>
            </w:r>
            <w:r>
              <w:rPr>
                <w:noProof/>
                <w:webHidden/>
              </w:rPr>
            </w:r>
            <w:r>
              <w:rPr>
                <w:noProof/>
                <w:webHidden/>
              </w:rPr>
              <w:fldChar w:fldCharType="separate"/>
            </w:r>
            <w:r>
              <w:rPr>
                <w:noProof/>
                <w:webHidden/>
              </w:rPr>
              <w:t>11</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80" w:history="1">
            <w:r w:rsidRPr="003D6FBE">
              <w:rPr>
                <w:rStyle w:val="Lienhypertexte"/>
                <w:noProof/>
              </w:rPr>
              <w:t>Nature et fonction</w:t>
            </w:r>
            <w:r>
              <w:rPr>
                <w:noProof/>
                <w:webHidden/>
              </w:rPr>
              <w:tab/>
            </w:r>
            <w:r>
              <w:rPr>
                <w:noProof/>
                <w:webHidden/>
              </w:rPr>
              <w:fldChar w:fldCharType="begin"/>
            </w:r>
            <w:r>
              <w:rPr>
                <w:noProof/>
                <w:webHidden/>
              </w:rPr>
              <w:instrText xml:space="preserve"> PAGEREF _Toc225785280 \h </w:instrText>
            </w:r>
            <w:r>
              <w:rPr>
                <w:noProof/>
                <w:webHidden/>
              </w:rPr>
            </w:r>
            <w:r>
              <w:rPr>
                <w:noProof/>
                <w:webHidden/>
              </w:rPr>
              <w:fldChar w:fldCharType="separate"/>
            </w:r>
            <w:r>
              <w:rPr>
                <w:noProof/>
                <w:webHidden/>
              </w:rPr>
              <w:t>11</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81" w:history="1">
            <w:r w:rsidRPr="003D6FBE">
              <w:rPr>
                <w:rStyle w:val="Lienhypertexte"/>
                <w:noProof/>
              </w:rPr>
              <w:t>Vote au niveau du chapitre</w:t>
            </w:r>
            <w:r>
              <w:rPr>
                <w:noProof/>
                <w:webHidden/>
              </w:rPr>
              <w:tab/>
            </w:r>
            <w:r>
              <w:rPr>
                <w:noProof/>
                <w:webHidden/>
              </w:rPr>
              <w:fldChar w:fldCharType="begin"/>
            </w:r>
            <w:r>
              <w:rPr>
                <w:noProof/>
                <w:webHidden/>
              </w:rPr>
              <w:instrText xml:space="preserve"> PAGEREF _Toc225785281 \h </w:instrText>
            </w:r>
            <w:r>
              <w:rPr>
                <w:noProof/>
                <w:webHidden/>
              </w:rPr>
            </w:r>
            <w:r>
              <w:rPr>
                <w:noProof/>
                <w:webHidden/>
              </w:rPr>
              <w:fldChar w:fldCharType="separate"/>
            </w:r>
            <w:r>
              <w:rPr>
                <w:noProof/>
                <w:webHidden/>
              </w:rPr>
              <w:t>11</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82" w:history="1">
            <w:r w:rsidRPr="003D6FBE">
              <w:rPr>
                <w:rStyle w:val="Lienhypertexte"/>
                <w:noProof/>
              </w:rPr>
              <w:t>Fongibilité des crédits : les virements de chapitre à chapitre</w:t>
            </w:r>
            <w:r>
              <w:rPr>
                <w:noProof/>
                <w:webHidden/>
              </w:rPr>
              <w:tab/>
            </w:r>
            <w:r>
              <w:rPr>
                <w:noProof/>
                <w:webHidden/>
              </w:rPr>
              <w:fldChar w:fldCharType="begin"/>
            </w:r>
            <w:r>
              <w:rPr>
                <w:noProof/>
                <w:webHidden/>
              </w:rPr>
              <w:instrText xml:space="preserve"> PAGEREF _Toc225785282 \h </w:instrText>
            </w:r>
            <w:r>
              <w:rPr>
                <w:noProof/>
                <w:webHidden/>
              </w:rPr>
            </w:r>
            <w:r>
              <w:rPr>
                <w:noProof/>
                <w:webHidden/>
              </w:rPr>
              <w:fldChar w:fldCharType="separate"/>
            </w:r>
            <w:r>
              <w:rPr>
                <w:noProof/>
                <w:webHidden/>
              </w:rPr>
              <w:t>12</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83" w:history="1">
            <w:r w:rsidRPr="003D6FBE">
              <w:rPr>
                <w:rStyle w:val="Lienhypertexte"/>
                <w:noProof/>
              </w:rPr>
              <w:t>Les chapitres de dépense « opération » de la section d’investissement</w:t>
            </w:r>
            <w:r>
              <w:rPr>
                <w:noProof/>
                <w:webHidden/>
              </w:rPr>
              <w:tab/>
            </w:r>
            <w:r>
              <w:rPr>
                <w:noProof/>
                <w:webHidden/>
              </w:rPr>
              <w:fldChar w:fldCharType="begin"/>
            </w:r>
            <w:r>
              <w:rPr>
                <w:noProof/>
                <w:webHidden/>
              </w:rPr>
              <w:instrText xml:space="preserve"> PAGEREF _Toc225785283 \h </w:instrText>
            </w:r>
            <w:r>
              <w:rPr>
                <w:noProof/>
                <w:webHidden/>
              </w:rPr>
            </w:r>
            <w:r>
              <w:rPr>
                <w:noProof/>
                <w:webHidden/>
              </w:rPr>
              <w:fldChar w:fldCharType="separate"/>
            </w:r>
            <w:r>
              <w:rPr>
                <w:noProof/>
                <w:webHidden/>
              </w:rPr>
              <w:t>12</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284" w:history="1">
            <w:r w:rsidRPr="003D6FBE">
              <w:rPr>
                <w:rStyle w:val="Lienhypertexte"/>
                <w:noProof/>
              </w:rPr>
              <w:t>07 La gestion pluriannuelle des crédits : autorisations de programme, autorisations d’engagement, et crédits de paiement</w:t>
            </w:r>
            <w:r>
              <w:rPr>
                <w:noProof/>
                <w:webHidden/>
              </w:rPr>
              <w:tab/>
            </w:r>
            <w:r>
              <w:rPr>
                <w:noProof/>
                <w:webHidden/>
              </w:rPr>
              <w:fldChar w:fldCharType="begin"/>
            </w:r>
            <w:r>
              <w:rPr>
                <w:noProof/>
                <w:webHidden/>
              </w:rPr>
              <w:instrText xml:space="preserve"> PAGEREF _Toc225785284 \h </w:instrText>
            </w:r>
            <w:r>
              <w:rPr>
                <w:noProof/>
                <w:webHidden/>
              </w:rPr>
            </w:r>
            <w:r>
              <w:rPr>
                <w:noProof/>
                <w:webHidden/>
              </w:rPr>
              <w:fldChar w:fldCharType="separate"/>
            </w:r>
            <w:r>
              <w:rPr>
                <w:noProof/>
                <w:webHidden/>
              </w:rPr>
              <w:t>13</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85" w:history="1">
            <w:r w:rsidRPr="003D6FBE">
              <w:rPr>
                <w:rStyle w:val="Lienhypertexte"/>
                <w:noProof/>
              </w:rPr>
              <w:t>Définitions</w:t>
            </w:r>
            <w:r>
              <w:rPr>
                <w:noProof/>
                <w:webHidden/>
              </w:rPr>
              <w:tab/>
            </w:r>
            <w:r>
              <w:rPr>
                <w:noProof/>
                <w:webHidden/>
              </w:rPr>
              <w:fldChar w:fldCharType="begin"/>
            </w:r>
            <w:r>
              <w:rPr>
                <w:noProof/>
                <w:webHidden/>
              </w:rPr>
              <w:instrText xml:space="preserve"> PAGEREF _Toc225785285 \h </w:instrText>
            </w:r>
            <w:r>
              <w:rPr>
                <w:noProof/>
                <w:webHidden/>
              </w:rPr>
            </w:r>
            <w:r>
              <w:rPr>
                <w:noProof/>
                <w:webHidden/>
              </w:rPr>
              <w:fldChar w:fldCharType="separate"/>
            </w:r>
            <w:r>
              <w:rPr>
                <w:noProof/>
                <w:webHidden/>
              </w:rPr>
              <w:t>13</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86" w:history="1">
            <w:r w:rsidRPr="003D6FBE">
              <w:rPr>
                <w:rStyle w:val="Lienhypertexte"/>
                <w:noProof/>
              </w:rPr>
              <w:t>Règles budgétaires</w:t>
            </w:r>
            <w:r>
              <w:rPr>
                <w:noProof/>
                <w:webHidden/>
              </w:rPr>
              <w:tab/>
            </w:r>
            <w:r>
              <w:rPr>
                <w:noProof/>
                <w:webHidden/>
              </w:rPr>
              <w:fldChar w:fldCharType="begin"/>
            </w:r>
            <w:r>
              <w:rPr>
                <w:noProof/>
                <w:webHidden/>
              </w:rPr>
              <w:instrText xml:space="preserve"> PAGEREF _Toc225785286 \h </w:instrText>
            </w:r>
            <w:r>
              <w:rPr>
                <w:noProof/>
                <w:webHidden/>
              </w:rPr>
            </w:r>
            <w:r>
              <w:rPr>
                <w:noProof/>
                <w:webHidden/>
              </w:rPr>
              <w:fldChar w:fldCharType="separate"/>
            </w:r>
            <w:r>
              <w:rPr>
                <w:noProof/>
                <w:webHidden/>
              </w:rPr>
              <w:t>13</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87" w:history="1">
            <w:r w:rsidRPr="003D6FBE">
              <w:rPr>
                <w:rStyle w:val="Lienhypertexte"/>
                <w:noProof/>
              </w:rPr>
              <w:t>Modalités de mise en œuvre à Sotteville-lès-Rouen</w:t>
            </w:r>
            <w:r>
              <w:rPr>
                <w:noProof/>
                <w:webHidden/>
              </w:rPr>
              <w:tab/>
            </w:r>
            <w:r>
              <w:rPr>
                <w:noProof/>
                <w:webHidden/>
              </w:rPr>
              <w:fldChar w:fldCharType="begin"/>
            </w:r>
            <w:r>
              <w:rPr>
                <w:noProof/>
                <w:webHidden/>
              </w:rPr>
              <w:instrText xml:space="preserve"> PAGEREF _Toc225785287 \h </w:instrText>
            </w:r>
            <w:r>
              <w:rPr>
                <w:noProof/>
                <w:webHidden/>
              </w:rPr>
            </w:r>
            <w:r>
              <w:rPr>
                <w:noProof/>
                <w:webHidden/>
              </w:rPr>
              <w:fldChar w:fldCharType="separate"/>
            </w:r>
            <w:r>
              <w:rPr>
                <w:noProof/>
                <w:webHidden/>
              </w:rPr>
              <w:t>14</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288" w:history="1">
            <w:r w:rsidRPr="003D6FBE">
              <w:rPr>
                <w:rStyle w:val="Lienhypertexte"/>
                <w:noProof/>
              </w:rPr>
              <w:t>08 Comptabilité des engagements</w:t>
            </w:r>
            <w:r>
              <w:rPr>
                <w:noProof/>
                <w:webHidden/>
              </w:rPr>
              <w:tab/>
            </w:r>
            <w:r>
              <w:rPr>
                <w:noProof/>
                <w:webHidden/>
              </w:rPr>
              <w:fldChar w:fldCharType="begin"/>
            </w:r>
            <w:r>
              <w:rPr>
                <w:noProof/>
                <w:webHidden/>
              </w:rPr>
              <w:instrText xml:space="preserve"> PAGEREF _Toc225785288 \h </w:instrText>
            </w:r>
            <w:r>
              <w:rPr>
                <w:noProof/>
                <w:webHidden/>
              </w:rPr>
            </w:r>
            <w:r>
              <w:rPr>
                <w:noProof/>
                <w:webHidden/>
              </w:rPr>
              <w:fldChar w:fldCharType="separate"/>
            </w:r>
            <w:r>
              <w:rPr>
                <w:noProof/>
                <w:webHidden/>
              </w:rPr>
              <w:t>15</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89" w:history="1">
            <w:r w:rsidRPr="003D6FBE">
              <w:rPr>
                <w:rStyle w:val="Lienhypertexte"/>
                <w:noProof/>
              </w:rPr>
              <w:t>Définitions</w:t>
            </w:r>
            <w:r>
              <w:rPr>
                <w:noProof/>
                <w:webHidden/>
              </w:rPr>
              <w:tab/>
            </w:r>
            <w:r>
              <w:rPr>
                <w:noProof/>
                <w:webHidden/>
              </w:rPr>
              <w:fldChar w:fldCharType="begin"/>
            </w:r>
            <w:r>
              <w:rPr>
                <w:noProof/>
                <w:webHidden/>
              </w:rPr>
              <w:instrText xml:space="preserve"> PAGEREF _Toc225785289 \h </w:instrText>
            </w:r>
            <w:r>
              <w:rPr>
                <w:noProof/>
                <w:webHidden/>
              </w:rPr>
            </w:r>
            <w:r>
              <w:rPr>
                <w:noProof/>
                <w:webHidden/>
              </w:rPr>
              <w:fldChar w:fldCharType="separate"/>
            </w:r>
            <w:r>
              <w:rPr>
                <w:noProof/>
                <w:webHidden/>
              </w:rPr>
              <w:t>15</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90" w:history="1">
            <w:r w:rsidRPr="003D6FBE">
              <w:rPr>
                <w:rStyle w:val="Lienhypertexte"/>
                <w:noProof/>
              </w:rPr>
              <w:t>Modalités de l’engagement comptable en dépense.</w:t>
            </w:r>
            <w:r>
              <w:rPr>
                <w:noProof/>
                <w:webHidden/>
              </w:rPr>
              <w:tab/>
            </w:r>
            <w:r>
              <w:rPr>
                <w:noProof/>
                <w:webHidden/>
              </w:rPr>
              <w:fldChar w:fldCharType="begin"/>
            </w:r>
            <w:r>
              <w:rPr>
                <w:noProof/>
                <w:webHidden/>
              </w:rPr>
              <w:instrText xml:space="preserve"> PAGEREF _Toc225785290 \h </w:instrText>
            </w:r>
            <w:r>
              <w:rPr>
                <w:noProof/>
                <w:webHidden/>
              </w:rPr>
            </w:r>
            <w:r>
              <w:rPr>
                <w:noProof/>
                <w:webHidden/>
              </w:rPr>
              <w:fldChar w:fldCharType="separate"/>
            </w:r>
            <w:r>
              <w:rPr>
                <w:noProof/>
                <w:webHidden/>
              </w:rPr>
              <w:t>15</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91" w:history="1">
            <w:r w:rsidRPr="003D6FBE">
              <w:rPr>
                <w:rStyle w:val="Lienhypertexte"/>
                <w:noProof/>
              </w:rPr>
              <w:t>Particularités des subventions à verser</w:t>
            </w:r>
            <w:r>
              <w:rPr>
                <w:noProof/>
                <w:webHidden/>
              </w:rPr>
              <w:tab/>
            </w:r>
            <w:r>
              <w:rPr>
                <w:noProof/>
                <w:webHidden/>
              </w:rPr>
              <w:fldChar w:fldCharType="begin"/>
            </w:r>
            <w:r>
              <w:rPr>
                <w:noProof/>
                <w:webHidden/>
              </w:rPr>
              <w:instrText xml:space="preserve"> PAGEREF _Toc225785291 \h </w:instrText>
            </w:r>
            <w:r>
              <w:rPr>
                <w:noProof/>
                <w:webHidden/>
              </w:rPr>
            </w:r>
            <w:r>
              <w:rPr>
                <w:noProof/>
                <w:webHidden/>
              </w:rPr>
              <w:fldChar w:fldCharType="separate"/>
            </w:r>
            <w:r>
              <w:rPr>
                <w:noProof/>
                <w:webHidden/>
              </w:rPr>
              <w:t>15</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92" w:history="1">
            <w:r w:rsidRPr="003D6FBE">
              <w:rPr>
                <w:rStyle w:val="Lienhypertexte"/>
                <w:noProof/>
              </w:rPr>
              <w:t>Particularités des autorisations de programme et d’engagement</w:t>
            </w:r>
            <w:r>
              <w:rPr>
                <w:noProof/>
                <w:webHidden/>
              </w:rPr>
              <w:tab/>
            </w:r>
            <w:r>
              <w:rPr>
                <w:noProof/>
                <w:webHidden/>
              </w:rPr>
              <w:fldChar w:fldCharType="begin"/>
            </w:r>
            <w:r>
              <w:rPr>
                <w:noProof/>
                <w:webHidden/>
              </w:rPr>
              <w:instrText xml:space="preserve"> PAGEREF _Toc225785292 \h </w:instrText>
            </w:r>
            <w:r>
              <w:rPr>
                <w:noProof/>
                <w:webHidden/>
              </w:rPr>
            </w:r>
            <w:r>
              <w:rPr>
                <w:noProof/>
                <w:webHidden/>
              </w:rPr>
              <w:fldChar w:fldCharType="separate"/>
            </w:r>
            <w:r>
              <w:rPr>
                <w:noProof/>
                <w:webHidden/>
              </w:rPr>
              <w:t>16</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93" w:history="1">
            <w:r w:rsidRPr="003D6FBE">
              <w:rPr>
                <w:rStyle w:val="Lienhypertexte"/>
                <w:noProof/>
              </w:rPr>
              <w:t>Spécificités de la comptabilité d’engagement des recettes d’investissement à recevoir</w:t>
            </w:r>
            <w:r>
              <w:rPr>
                <w:noProof/>
                <w:webHidden/>
              </w:rPr>
              <w:tab/>
            </w:r>
            <w:r>
              <w:rPr>
                <w:noProof/>
                <w:webHidden/>
              </w:rPr>
              <w:fldChar w:fldCharType="begin"/>
            </w:r>
            <w:r>
              <w:rPr>
                <w:noProof/>
                <w:webHidden/>
              </w:rPr>
              <w:instrText xml:space="preserve"> PAGEREF _Toc225785293 \h </w:instrText>
            </w:r>
            <w:r>
              <w:rPr>
                <w:noProof/>
                <w:webHidden/>
              </w:rPr>
            </w:r>
            <w:r>
              <w:rPr>
                <w:noProof/>
                <w:webHidden/>
              </w:rPr>
              <w:fldChar w:fldCharType="separate"/>
            </w:r>
            <w:r>
              <w:rPr>
                <w:noProof/>
                <w:webHidden/>
              </w:rPr>
              <w:t>16</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294" w:history="1">
            <w:r w:rsidRPr="003D6FBE">
              <w:rPr>
                <w:rStyle w:val="Lienhypertexte"/>
                <w:noProof/>
              </w:rPr>
              <w:t>09 Modalités pratiques d’engagement de la dépense et de constatation du service fait</w:t>
            </w:r>
            <w:r>
              <w:rPr>
                <w:noProof/>
                <w:webHidden/>
              </w:rPr>
              <w:tab/>
            </w:r>
            <w:r>
              <w:rPr>
                <w:noProof/>
                <w:webHidden/>
              </w:rPr>
              <w:fldChar w:fldCharType="begin"/>
            </w:r>
            <w:r>
              <w:rPr>
                <w:noProof/>
                <w:webHidden/>
              </w:rPr>
              <w:instrText xml:space="preserve"> PAGEREF _Toc225785294 \h </w:instrText>
            </w:r>
            <w:r>
              <w:rPr>
                <w:noProof/>
                <w:webHidden/>
              </w:rPr>
            </w:r>
            <w:r>
              <w:rPr>
                <w:noProof/>
                <w:webHidden/>
              </w:rPr>
              <w:fldChar w:fldCharType="separate"/>
            </w:r>
            <w:r>
              <w:rPr>
                <w:noProof/>
                <w:webHidden/>
              </w:rPr>
              <w:t>18</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95" w:history="1">
            <w:r w:rsidRPr="003D6FBE">
              <w:rPr>
                <w:rStyle w:val="Lienhypertexte"/>
                <w:noProof/>
              </w:rPr>
              <w:t>L’engagement de la dépense</w:t>
            </w:r>
            <w:r>
              <w:rPr>
                <w:noProof/>
                <w:webHidden/>
              </w:rPr>
              <w:tab/>
            </w:r>
            <w:r>
              <w:rPr>
                <w:noProof/>
                <w:webHidden/>
              </w:rPr>
              <w:fldChar w:fldCharType="begin"/>
            </w:r>
            <w:r>
              <w:rPr>
                <w:noProof/>
                <w:webHidden/>
              </w:rPr>
              <w:instrText xml:space="preserve"> PAGEREF _Toc225785295 \h </w:instrText>
            </w:r>
            <w:r>
              <w:rPr>
                <w:noProof/>
                <w:webHidden/>
              </w:rPr>
            </w:r>
            <w:r>
              <w:rPr>
                <w:noProof/>
                <w:webHidden/>
              </w:rPr>
              <w:fldChar w:fldCharType="separate"/>
            </w:r>
            <w:r>
              <w:rPr>
                <w:noProof/>
                <w:webHidden/>
              </w:rPr>
              <w:t>18</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96" w:history="1">
            <w:r w:rsidRPr="003D6FBE">
              <w:rPr>
                <w:rStyle w:val="Lienhypertexte"/>
                <w:noProof/>
              </w:rPr>
              <w:t>La constatation du service fait</w:t>
            </w:r>
            <w:r>
              <w:rPr>
                <w:noProof/>
                <w:webHidden/>
              </w:rPr>
              <w:tab/>
            </w:r>
            <w:r>
              <w:rPr>
                <w:noProof/>
                <w:webHidden/>
              </w:rPr>
              <w:fldChar w:fldCharType="begin"/>
            </w:r>
            <w:r>
              <w:rPr>
                <w:noProof/>
                <w:webHidden/>
              </w:rPr>
              <w:instrText xml:space="preserve"> PAGEREF _Toc225785296 \h </w:instrText>
            </w:r>
            <w:r>
              <w:rPr>
                <w:noProof/>
                <w:webHidden/>
              </w:rPr>
            </w:r>
            <w:r>
              <w:rPr>
                <w:noProof/>
                <w:webHidden/>
              </w:rPr>
              <w:fldChar w:fldCharType="separate"/>
            </w:r>
            <w:r>
              <w:rPr>
                <w:noProof/>
                <w:webHidden/>
              </w:rPr>
              <w:t>18</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297" w:history="1">
            <w:r w:rsidRPr="003D6FBE">
              <w:rPr>
                <w:rStyle w:val="Lienhypertexte"/>
                <w:noProof/>
              </w:rPr>
              <w:t>10 Clôture budgétaire : définitions et calendrier</w:t>
            </w:r>
            <w:r>
              <w:rPr>
                <w:noProof/>
                <w:webHidden/>
              </w:rPr>
              <w:tab/>
            </w:r>
            <w:r>
              <w:rPr>
                <w:noProof/>
                <w:webHidden/>
              </w:rPr>
              <w:fldChar w:fldCharType="begin"/>
            </w:r>
            <w:r>
              <w:rPr>
                <w:noProof/>
                <w:webHidden/>
              </w:rPr>
              <w:instrText xml:space="preserve"> PAGEREF _Toc225785297 \h </w:instrText>
            </w:r>
            <w:r>
              <w:rPr>
                <w:noProof/>
                <w:webHidden/>
              </w:rPr>
            </w:r>
            <w:r>
              <w:rPr>
                <w:noProof/>
                <w:webHidden/>
              </w:rPr>
              <w:fldChar w:fldCharType="separate"/>
            </w:r>
            <w:r>
              <w:rPr>
                <w:noProof/>
                <w:webHidden/>
              </w:rPr>
              <w:t>19</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98" w:history="1">
            <w:r w:rsidRPr="003D6FBE">
              <w:rPr>
                <w:rStyle w:val="Lienhypertexte"/>
                <w:noProof/>
              </w:rPr>
              <w:t>Le rattachement des charges et des produits de l’exercice</w:t>
            </w:r>
            <w:r>
              <w:rPr>
                <w:noProof/>
                <w:webHidden/>
              </w:rPr>
              <w:tab/>
            </w:r>
            <w:r>
              <w:rPr>
                <w:noProof/>
                <w:webHidden/>
              </w:rPr>
              <w:fldChar w:fldCharType="begin"/>
            </w:r>
            <w:r>
              <w:rPr>
                <w:noProof/>
                <w:webHidden/>
              </w:rPr>
              <w:instrText xml:space="preserve"> PAGEREF _Toc225785298 \h </w:instrText>
            </w:r>
            <w:r>
              <w:rPr>
                <w:noProof/>
                <w:webHidden/>
              </w:rPr>
            </w:r>
            <w:r>
              <w:rPr>
                <w:noProof/>
                <w:webHidden/>
              </w:rPr>
              <w:fldChar w:fldCharType="separate"/>
            </w:r>
            <w:r>
              <w:rPr>
                <w:noProof/>
                <w:webHidden/>
              </w:rPr>
              <w:t>19</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299" w:history="1">
            <w:r w:rsidRPr="003D6FBE">
              <w:rPr>
                <w:rStyle w:val="Lienhypertexte"/>
                <w:noProof/>
              </w:rPr>
              <w:t>Les restes à réaliser (RAR)</w:t>
            </w:r>
            <w:r>
              <w:rPr>
                <w:noProof/>
                <w:webHidden/>
              </w:rPr>
              <w:tab/>
            </w:r>
            <w:r>
              <w:rPr>
                <w:noProof/>
                <w:webHidden/>
              </w:rPr>
              <w:fldChar w:fldCharType="begin"/>
            </w:r>
            <w:r>
              <w:rPr>
                <w:noProof/>
                <w:webHidden/>
              </w:rPr>
              <w:instrText xml:space="preserve"> PAGEREF _Toc225785299 \h </w:instrText>
            </w:r>
            <w:r>
              <w:rPr>
                <w:noProof/>
                <w:webHidden/>
              </w:rPr>
            </w:r>
            <w:r>
              <w:rPr>
                <w:noProof/>
                <w:webHidden/>
              </w:rPr>
              <w:fldChar w:fldCharType="separate"/>
            </w:r>
            <w:r>
              <w:rPr>
                <w:noProof/>
                <w:webHidden/>
              </w:rPr>
              <w:t>19</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00" w:history="1">
            <w:r w:rsidRPr="003D6FBE">
              <w:rPr>
                <w:rStyle w:val="Lienhypertexte"/>
                <w:noProof/>
              </w:rPr>
              <w:t>Calendrier d’arrêt des comptes</w:t>
            </w:r>
            <w:r>
              <w:rPr>
                <w:noProof/>
                <w:webHidden/>
              </w:rPr>
              <w:tab/>
            </w:r>
            <w:r>
              <w:rPr>
                <w:noProof/>
                <w:webHidden/>
              </w:rPr>
              <w:fldChar w:fldCharType="begin"/>
            </w:r>
            <w:r>
              <w:rPr>
                <w:noProof/>
                <w:webHidden/>
              </w:rPr>
              <w:instrText xml:space="preserve"> PAGEREF _Toc225785300 \h </w:instrText>
            </w:r>
            <w:r>
              <w:rPr>
                <w:noProof/>
                <w:webHidden/>
              </w:rPr>
            </w:r>
            <w:r>
              <w:rPr>
                <w:noProof/>
                <w:webHidden/>
              </w:rPr>
              <w:fldChar w:fldCharType="separate"/>
            </w:r>
            <w:r>
              <w:rPr>
                <w:noProof/>
                <w:webHidden/>
              </w:rPr>
              <w:t>19</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301" w:history="1">
            <w:r w:rsidRPr="003D6FBE">
              <w:rPr>
                <w:rStyle w:val="Lienhypertexte"/>
                <w:noProof/>
              </w:rPr>
              <w:t>11 Le calcul du résultat et son affectation</w:t>
            </w:r>
            <w:r>
              <w:rPr>
                <w:noProof/>
                <w:webHidden/>
              </w:rPr>
              <w:tab/>
            </w:r>
            <w:r>
              <w:rPr>
                <w:noProof/>
                <w:webHidden/>
              </w:rPr>
              <w:fldChar w:fldCharType="begin"/>
            </w:r>
            <w:r>
              <w:rPr>
                <w:noProof/>
                <w:webHidden/>
              </w:rPr>
              <w:instrText xml:space="preserve"> PAGEREF _Toc225785301 \h </w:instrText>
            </w:r>
            <w:r>
              <w:rPr>
                <w:noProof/>
                <w:webHidden/>
              </w:rPr>
            </w:r>
            <w:r>
              <w:rPr>
                <w:noProof/>
                <w:webHidden/>
              </w:rPr>
              <w:fldChar w:fldCharType="separate"/>
            </w:r>
            <w:r>
              <w:rPr>
                <w:noProof/>
                <w:webHidden/>
              </w:rPr>
              <w:t>22</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02" w:history="1">
            <w:r w:rsidRPr="003D6FBE">
              <w:rPr>
                <w:rStyle w:val="Lienhypertexte"/>
                <w:noProof/>
              </w:rPr>
              <w:t>Définitions</w:t>
            </w:r>
            <w:r>
              <w:rPr>
                <w:noProof/>
                <w:webHidden/>
              </w:rPr>
              <w:tab/>
            </w:r>
            <w:r>
              <w:rPr>
                <w:noProof/>
                <w:webHidden/>
              </w:rPr>
              <w:fldChar w:fldCharType="begin"/>
            </w:r>
            <w:r>
              <w:rPr>
                <w:noProof/>
                <w:webHidden/>
              </w:rPr>
              <w:instrText xml:space="preserve"> PAGEREF _Toc225785302 \h </w:instrText>
            </w:r>
            <w:r>
              <w:rPr>
                <w:noProof/>
                <w:webHidden/>
              </w:rPr>
            </w:r>
            <w:r>
              <w:rPr>
                <w:noProof/>
                <w:webHidden/>
              </w:rPr>
              <w:fldChar w:fldCharType="separate"/>
            </w:r>
            <w:r>
              <w:rPr>
                <w:noProof/>
                <w:webHidden/>
              </w:rPr>
              <w:t>22</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03" w:history="1">
            <w:r w:rsidRPr="003D6FBE">
              <w:rPr>
                <w:rStyle w:val="Lienhypertexte"/>
                <w:noProof/>
              </w:rPr>
              <w:t>Affectation</w:t>
            </w:r>
            <w:r>
              <w:rPr>
                <w:noProof/>
                <w:webHidden/>
              </w:rPr>
              <w:tab/>
            </w:r>
            <w:r>
              <w:rPr>
                <w:noProof/>
                <w:webHidden/>
              </w:rPr>
              <w:fldChar w:fldCharType="begin"/>
            </w:r>
            <w:r>
              <w:rPr>
                <w:noProof/>
                <w:webHidden/>
              </w:rPr>
              <w:instrText xml:space="preserve"> PAGEREF _Toc225785303 \h </w:instrText>
            </w:r>
            <w:r>
              <w:rPr>
                <w:noProof/>
                <w:webHidden/>
              </w:rPr>
            </w:r>
            <w:r>
              <w:rPr>
                <w:noProof/>
                <w:webHidden/>
              </w:rPr>
              <w:fldChar w:fldCharType="separate"/>
            </w:r>
            <w:r>
              <w:rPr>
                <w:noProof/>
                <w:webHidden/>
              </w:rPr>
              <w:t>22</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304" w:history="1">
            <w:r w:rsidRPr="003D6FBE">
              <w:rPr>
                <w:rStyle w:val="Lienhypertexte"/>
                <w:noProof/>
              </w:rPr>
              <w:t>12 La poursuite d’exécution du budget sur l'exercice suivant: les restes à réaliser</w:t>
            </w:r>
            <w:r>
              <w:rPr>
                <w:noProof/>
                <w:webHidden/>
              </w:rPr>
              <w:tab/>
            </w:r>
            <w:r>
              <w:rPr>
                <w:noProof/>
                <w:webHidden/>
              </w:rPr>
              <w:fldChar w:fldCharType="begin"/>
            </w:r>
            <w:r>
              <w:rPr>
                <w:noProof/>
                <w:webHidden/>
              </w:rPr>
              <w:instrText xml:space="preserve"> PAGEREF _Toc225785304 \h </w:instrText>
            </w:r>
            <w:r>
              <w:rPr>
                <w:noProof/>
                <w:webHidden/>
              </w:rPr>
            </w:r>
            <w:r>
              <w:rPr>
                <w:noProof/>
                <w:webHidden/>
              </w:rPr>
              <w:fldChar w:fldCharType="separate"/>
            </w:r>
            <w:r>
              <w:rPr>
                <w:noProof/>
                <w:webHidden/>
              </w:rPr>
              <w:t>23</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05" w:history="1">
            <w:r w:rsidRPr="003D6FBE">
              <w:rPr>
                <w:rStyle w:val="Lienhypertexte"/>
                <w:noProof/>
              </w:rPr>
              <w:t>Les restes à réaliser et la sincérité du compte administratif : règles générales</w:t>
            </w:r>
            <w:r>
              <w:rPr>
                <w:noProof/>
                <w:webHidden/>
              </w:rPr>
              <w:tab/>
            </w:r>
            <w:r>
              <w:rPr>
                <w:noProof/>
                <w:webHidden/>
              </w:rPr>
              <w:fldChar w:fldCharType="begin"/>
            </w:r>
            <w:r>
              <w:rPr>
                <w:noProof/>
                <w:webHidden/>
              </w:rPr>
              <w:instrText xml:space="preserve"> PAGEREF _Toc225785305 \h </w:instrText>
            </w:r>
            <w:r>
              <w:rPr>
                <w:noProof/>
                <w:webHidden/>
              </w:rPr>
            </w:r>
            <w:r>
              <w:rPr>
                <w:noProof/>
                <w:webHidden/>
              </w:rPr>
              <w:fldChar w:fldCharType="separate"/>
            </w:r>
            <w:r>
              <w:rPr>
                <w:noProof/>
                <w:webHidden/>
              </w:rPr>
              <w:t>23</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06" w:history="1">
            <w:r w:rsidRPr="003D6FBE">
              <w:rPr>
                <w:rStyle w:val="Lienhypertexte"/>
                <w:noProof/>
              </w:rPr>
              <w:t>Spécificités : les restes à réaliser dans le cadre de la gestion pluriannuelle des crédits</w:t>
            </w:r>
            <w:r>
              <w:rPr>
                <w:noProof/>
                <w:webHidden/>
              </w:rPr>
              <w:tab/>
            </w:r>
            <w:r>
              <w:rPr>
                <w:noProof/>
                <w:webHidden/>
              </w:rPr>
              <w:fldChar w:fldCharType="begin"/>
            </w:r>
            <w:r>
              <w:rPr>
                <w:noProof/>
                <w:webHidden/>
              </w:rPr>
              <w:instrText xml:space="preserve"> PAGEREF _Toc225785306 \h </w:instrText>
            </w:r>
            <w:r>
              <w:rPr>
                <w:noProof/>
                <w:webHidden/>
              </w:rPr>
            </w:r>
            <w:r>
              <w:rPr>
                <w:noProof/>
                <w:webHidden/>
              </w:rPr>
              <w:fldChar w:fldCharType="separate"/>
            </w:r>
            <w:r>
              <w:rPr>
                <w:noProof/>
                <w:webHidden/>
              </w:rPr>
              <w:t>23</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307" w:history="1">
            <w:r w:rsidRPr="003D6FBE">
              <w:rPr>
                <w:rStyle w:val="Lienhypertexte"/>
                <w:noProof/>
              </w:rPr>
              <w:t>13 Modalités d’ouverture anticipée des crédits et budget provisoire</w:t>
            </w:r>
            <w:r>
              <w:rPr>
                <w:noProof/>
                <w:webHidden/>
              </w:rPr>
              <w:tab/>
            </w:r>
            <w:r>
              <w:rPr>
                <w:noProof/>
                <w:webHidden/>
              </w:rPr>
              <w:fldChar w:fldCharType="begin"/>
            </w:r>
            <w:r>
              <w:rPr>
                <w:noProof/>
                <w:webHidden/>
              </w:rPr>
              <w:instrText xml:space="preserve"> PAGEREF _Toc225785307 \h </w:instrText>
            </w:r>
            <w:r>
              <w:rPr>
                <w:noProof/>
                <w:webHidden/>
              </w:rPr>
            </w:r>
            <w:r>
              <w:rPr>
                <w:noProof/>
                <w:webHidden/>
              </w:rPr>
              <w:fldChar w:fldCharType="separate"/>
            </w:r>
            <w:r>
              <w:rPr>
                <w:noProof/>
                <w:webHidden/>
              </w:rPr>
              <w:t>24</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08" w:history="1">
            <w:r w:rsidRPr="003D6FBE">
              <w:rPr>
                <w:rStyle w:val="Lienhypertexte"/>
                <w:noProof/>
              </w:rPr>
              <w:t>Règle générale de continuité : le budget provisoire</w:t>
            </w:r>
            <w:r>
              <w:rPr>
                <w:noProof/>
                <w:webHidden/>
              </w:rPr>
              <w:tab/>
            </w:r>
            <w:r>
              <w:rPr>
                <w:noProof/>
                <w:webHidden/>
              </w:rPr>
              <w:fldChar w:fldCharType="begin"/>
            </w:r>
            <w:r>
              <w:rPr>
                <w:noProof/>
                <w:webHidden/>
              </w:rPr>
              <w:instrText xml:space="preserve"> PAGEREF _Toc225785308 \h </w:instrText>
            </w:r>
            <w:r>
              <w:rPr>
                <w:noProof/>
                <w:webHidden/>
              </w:rPr>
            </w:r>
            <w:r>
              <w:rPr>
                <w:noProof/>
                <w:webHidden/>
              </w:rPr>
              <w:fldChar w:fldCharType="separate"/>
            </w:r>
            <w:r>
              <w:rPr>
                <w:noProof/>
                <w:webHidden/>
              </w:rPr>
              <w:t>24</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09" w:history="1">
            <w:r w:rsidRPr="003D6FBE">
              <w:rPr>
                <w:rStyle w:val="Lienhypertexte"/>
                <w:noProof/>
              </w:rPr>
              <w:t>Spécificités : l’ouverture anticipée des crédits gérés de façon pluriannuelle</w:t>
            </w:r>
            <w:r>
              <w:rPr>
                <w:noProof/>
                <w:webHidden/>
              </w:rPr>
              <w:tab/>
            </w:r>
            <w:r>
              <w:rPr>
                <w:noProof/>
                <w:webHidden/>
              </w:rPr>
              <w:fldChar w:fldCharType="begin"/>
            </w:r>
            <w:r>
              <w:rPr>
                <w:noProof/>
                <w:webHidden/>
              </w:rPr>
              <w:instrText xml:space="preserve"> PAGEREF _Toc225785309 \h </w:instrText>
            </w:r>
            <w:r>
              <w:rPr>
                <w:noProof/>
                <w:webHidden/>
              </w:rPr>
            </w:r>
            <w:r>
              <w:rPr>
                <w:noProof/>
                <w:webHidden/>
              </w:rPr>
              <w:fldChar w:fldCharType="separate"/>
            </w:r>
            <w:r>
              <w:rPr>
                <w:noProof/>
                <w:webHidden/>
              </w:rPr>
              <w:t>24</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10" w:history="1">
            <w:r w:rsidRPr="003D6FBE">
              <w:rPr>
                <w:rStyle w:val="Lienhypertexte"/>
                <w:noProof/>
              </w:rPr>
              <w:t>Forme de la délibération ouvrant des crédits d’investissement de façon anticipée</w:t>
            </w:r>
            <w:r>
              <w:rPr>
                <w:noProof/>
                <w:webHidden/>
              </w:rPr>
              <w:tab/>
            </w:r>
            <w:r>
              <w:rPr>
                <w:noProof/>
                <w:webHidden/>
              </w:rPr>
              <w:fldChar w:fldCharType="begin"/>
            </w:r>
            <w:r>
              <w:rPr>
                <w:noProof/>
                <w:webHidden/>
              </w:rPr>
              <w:instrText xml:space="preserve"> PAGEREF _Toc225785310 \h </w:instrText>
            </w:r>
            <w:r>
              <w:rPr>
                <w:noProof/>
                <w:webHidden/>
              </w:rPr>
            </w:r>
            <w:r>
              <w:rPr>
                <w:noProof/>
                <w:webHidden/>
              </w:rPr>
              <w:fldChar w:fldCharType="separate"/>
            </w:r>
            <w:r>
              <w:rPr>
                <w:noProof/>
                <w:webHidden/>
              </w:rPr>
              <w:t>24</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311" w:history="1">
            <w:r w:rsidRPr="003D6FBE">
              <w:rPr>
                <w:rStyle w:val="Lienhypertexte"/>
                <w:noProof/>
              </w:rPr>
              <w:t>14 Production du compte financier unique</w:t>
            </w:r>
            <w:r>
              <w:rPr>
                <w:noProof/>
                <w:webHidden/>
              </w:rPr>
              <w:tab/>
            </w:r>
            <w:r>
              <w:rPr>
                <w:noProof/>
                <w:webHidden/>
              </w:rPr>
              <w:fldChar w:fldCharType="begin"/>
            </w:r>
            <w:r>
              <w:rPr>
                <w:noProof/>
                <w:webHidden/>
              </w:rPr>
              <w:instrText xml:space="preserve"> PAGEREF _Toc225785311 \h </w:instrText>
            </w:r>
            <w:r>
              <w:rPr>
                <w:noProof/>
                <w:webHidden/>
              </w:rPr>
            </w:r>
            <w:r>
              <w:rPr>
                <w:noProof/>
                <w:webHidden/>
              </w:rPr>
              <w:fldChar w:fldCharType="separate"/>
            </w:r>
            <w:r>
              <w:rPr>
                <w:noProof/>
                <w:webHidden/>
              </w:rPr>
              <w:t>25</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312" w:history="1">
            <w:r w:rsidRPr="003D6FBE">
              <w:rPr>
                <w:rStyle w:val="Lienhypertexte"/>
                <w:noProof/>
              </w:rPr>
              <w:t>15 Ecritures comptables particulières : amortissements, provisions, travaux en régie, …</w:t>
            </w:r>
            <w:r>
              <w:rPr>
                <w:noProof/>
                <w:webHidden/>
              </w:rPr>
              <w:tab/>
            </w:r>
            <w:r>
              <w:rPr>
                <w:noProof/>
                <w:webHidden/>
              </w:rPr>
              <w:fldChar w:fldCharType="begin"/>
            </w:r>
            <w:r>
              <w:rPr>
                <w:noProof/>
                <w:webHidden/>
              </w:rPr>
              <w:instrText xml:space="preserve"> PAGEREF _Toc225785312 \h </w:instrText>
            </w:r>
            <w:r>
              <w:rPr>
                <w:noProof/>
                <w:webHidden/>
              </w:rPr>
            </w:r>
            <w:r>
              <w:rPr>
                <w:noProof/>
                <w:webHidden/>
              </w:rPr>
              <w:fldChar w:fldCharType="separate"/>
            </w:r>
            <w:r>
              <w:rPr>
                <w:noProof/>
                <w:webHidden/>
              </w:rPr>
              <w:t>26</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13" w:history="1">
            <w:r w:rsidRPr="003D6FBE">
              <w:rPr>
                <w:rStyle w:val="Lienhypertexte"/>
                <w:noProof/>
              </w:rPr>
              <w:t>Amortissements</w:t>
            </w:r>
            <w:r>
              <w:rPr>
                <w:noProof/>
                <w:webHidden/>
              </w:rPr>
              <w:tab/>
            </w:r>
            <w:r>
              <w:rPr>
                <w:noProof/>
                <w:webHidden/>
              </w:rPr>
              <w:fldChar w:fldCharType="begin"/>
            </w:r>
            <w:r>
              <w:rPr>
                <w:noProof/>
                <w:webHidden/>
              </w:rPr>
              <w:instrText xml:space="preserve"> PAGEREF _Toc225785313 \h </w:instrText>
            </w:r>
            <w:r>
              <w:rPr>
                <w:noProof/>
                <w:webHidden/>
              </w:rPr>
            </w:r>
            <w:r>
              <w:rPr>
                <w:noProof/>
                <w:webHidden/>
              </w:rPr>
              <w:fldChar w:fldCharType="separate"/>
            </w:r>
            <w:r>
              <w:rPr>
                <w:noProof/>
                <w:webHidden/>
              </w:rPr>
              <w:t>26</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14" w:history="1">
            <w:r w:rsidRPr="003D6FBE">
              <w:rPr>
                <w:rStyle w:val="Lienhypertexte"/>
                <w:noProof/>
              </w:rPr>
              <w:t>Provisions</w:t>
            </w:r>
            <w:r>
              <w:rPr>
                <w:noProof/>
                <w:webHidden/>
              </w:rPr>
              <w:tab/>
            </w:r>
            <w:r>
              <w:rPr>
                <w:noProof/>
                <w:webHidden/>
              </w:rPr>
              <w:fldChar w:fldCharType="begin"/>
            </w:r>
            <w:r>
              <w:rPr>
                <w:noProof/>
                <w:webHidden/>
              </w:rPr>
              <w:instrText xml:space="preserve"> PAGEREF _Toc225785314 \h </w:instrText>
            </w:r>
            <w:r>
              <w:rPr>
                <w:noProof/>
                <w:webHidden/>
              </w:rPr>
            </w:r>
            <w:r>
              <w:rPr>
                <w:noProof/>
                <w:webHidden/>
              </w:rPr>
              <w:fldChar w:fldCharType="separate"/>
            </w:r>
            <w:r>
              <w:rPr>
                <w:noProof/>
                <w:webHidden/>
              </w:rPr>
              <w:t>26</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15" w:history="1">
            <w:r w:rsidRPr="003D6FBE">
              <w:rPr>
                <w:rStyle w:val="Lienhypertexte"/>
                <w:noProof/>
              </w:rPr>
              <w:t>Production immobilisée ou travaux en régie</w:t>
            </w:r>
            <w:r>
              <w:rPr>
                <w:noProof/>
                <w:webHidden/>
              </w:rPr>
              <w:tab/>
            </w:r>
            <w:r>
              <w:rPr>
                <w:noProof/>
                <w:webHidden/>
              </w:rPr>
              <w:fldChar w:fldCharType="begin"/>
            </w:r>
            <w:r>
              <w:rPr>
                <w:noProof/>
                <w:webHidden/>
              </w:rPr>
              <w:instrText xml:space="preserve"> PAGEREF _Toc225785315 \h </w:instrText>
            </w:r>
            <w:r>
              <w:rPr>
                <w:noProof/>
                <w:webHidden/>
              </w:rPr>
            </w:r>
            <w:r>
              <w:rPr>
                <w:noProof/>
                <w:webHidden/>
              </w:rPr>
              <w:fldChar w:fldCharType="separate"/>
            </w:r>
            <w:r>
              <w:rPr>
                <w:noProof/>
                <w:webHidden/>
              </w:rPr>
              <w:t>27</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16" w:history="1">
            <w:r w:rsidRPr="003D6FBE">
              <w:rPr>
                <w:rStyle w:val="Lienhypertexte"/>
                <w:noProof/>
              </w:rPr>
              <w:t>Opérations pour compte de tiers</w:t>
            </w:r>
            <w:r>
              <w:rPr>
                <w:noProof/>
                <w:webHidden/>
              </w:rPr>
              <w:tab/>
            </w:r>
            <w:r>
              <w:rPr>
                <w:noProof/>
                <w:webHidden/>
              </w:rPr>
              <w:fldChar w:fldCharType="begin"/>
            </w:r>
            <w:r>
              <w:rPr>
                <w:noProof/>
                <w:webHidden/>
              </w:rPr>
              <w:instrText xml:space="preserve"> PAGEREF _Toc225785316 \h </w:instrText>
            </w:r>
            <w:r>
              <w:rPr>
                <w:noProof/>
                <w:webHidden/>
              </w:rPr>
            </w:r>
            <w:r>
              <w:rPr>
                <w:noProof/>
                <w:webHidden/>
              </w:rPr>
              <w:fldChar w:fldCharType="separate"/>
            </w:r>
            <w:r>
              <w:rPr>
                <w:noProof/>
                <w:webHidden/>
              </w:rPr>
              <w:t>27</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17" w:history="1">
            <w:r w:rsidRPr="003D6FBE">
              <w:rPr>
                <w:rStyle w:val="Lienhypertexte"/>
                <w:noProof/>
              </w:rPr>
              <w:t>Dépenses imprévues</w:t>
            </w:r>
            <w:r>
              <w:rPr>
                <w:noProof/>
                <w:webHidden/>
              </w:rPr>
              <w:tab/>
            </w:r>
            <w:r>
              <w:rPr>
                <w:noProof/>
                <w:webHidden/>
              </w:rPr>
              <w:fldChar w:fldCharType="begin"/>
            </w:r>
            <w:r>
              <w:rPr>
                <w:noProof/>
                <w:webHidden/>
              </w:rPr>
              <w:instrText xml:space="preserve"> PAGEREF _Toc225785317 \h </w:instrText>
            </w:r>
            <w:r>
              <w:rPr>
                <w:noProof/>
                <w:webHidden/>
              </w:rPr>
            </w:r>
            <w:r>
              <w:rPr>
                <w:noProof/>
                <w:webHidden/>
              </w:rPr>
              <w:fldChar w:fldCharType="separate"/>
            </w:r>
            <w:r>
              <w:rPr>
                <w:noProof/>
                <w:webHidden/>
              </w:rPr>
              <w:t>28</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318" w:history="1">
            <w:r w:rsidRPr="003D6FBE">
              <w:rPr>
                <w:rStyle w:val="Lienhypertexte"/>
                <w:noProof/>
              </w:rPr>
              <w:t>16 La gestion patrimoniale</w:t>
            </w:r>
            <w:r>
              <w:rPr>
                <w:noProof/>
                <w:webHidden/>
              </w:rPr>
              <w:tab/>
            </w:r>
            <w:r>
              <w:rPr>
                <w:noProof/>
                <w:webHidden/>
              </w:rPr>
              <w:fldChar w:fldCharType="begin"/>
            </w:r>
            <w:r>
              <w:rPr>
                <w:noProof/>
                <w:webHidden/>
              </w:rPr>
              <w:instrText xml:space="preserve"> PAGEREF _Toc225785318 \h </w:instrText>
            </w:r>
            <w:r>
              <w:rPr>
                <w:noProof/>
                <w:webHidden/>
              </w:rPr>
            </w:r>
            <w:r>
              <w:rPr>
                <w:noProof/>
                <w:webHidden/>
              </w:rPr>
              <w:fldChar w:fldCharType="separate"/>
            </w:r>
            <w:r>
              <w:rPr>
                <w:noProof/>
                <w:webHidden/>
              </w:rPr>
              <w:t>29</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19" w:history="1">
            <w:r w:rsidRPr="003D6FBE">
              <w:rPr>
                <w:rStyle w:val="Lienhypertexte"/>
                <w:noProof/>
              </w:rPr>
              <w:t>L’inventaire et l’état de l’actif</w:t>
            </w:r>
            <w:r>
              <w:rPr>
                <w:noProof/>
                <w:webHidden/>
              </w:rPr>
              <w:tab/>
            </w:r>
            <w:r>
              <w:rPr>
                <w:noProof/>
                <w:webHidden/>
              </w:rPr>
              <w:fldChar w:fldCharType="begin"/>
            </w:r>
            <w:r>
              <w:rPr>
                <w:noProof/>
                <w:webHidden/>
              </w:rPr>
              <w:instrText xml:space="preserve"> PAGEREF _Toc225785319 \h </w:instrText>
            </w:r>
            <w:r>
              <w:rPr>
                <w:noProof/>
                <w:webHidden/>
              </w:rPr>
            </w:r>
            <w:r>
              <w:rPr>
                <w:noProof/>
                <w:webHidden/>
              </w:rPr>
              <w:fldChar w:fldCharType="separate"/>
            </w:r>
            <w:r>
              <w:rPr>
                <w:noProof/>
                <w:webHidden/>
              </w:rPr>
              <w:t>29</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20" w:history="1">
            <w:r w:rsidRPr="003D6FBE">
              <w:rPr>
                <w:rStyle w:val="Lienhypertexte"/>
                <w:noProof/>
              </w:rPr>
              <w:t>Le traitement des frais d’études et des travaux en cours</w:t>
            </w:r>
            <w:r>
              <w:rPr>
                <w:noProof/>
                <w:webHidden/>
              </w:rPr>
              <w:tab/>
            </w:r>
            <w:r>
              <w:rPr>
                <w:noProof/>
                <w:webHidden/>
              </w:rPr>
              <w:fldChar w:fldCharType="begin"/>
            </w:r>
            <w:r>
              <w:rPr>
                <w:noProof/>
                <w:webHidden/>
              </w:rPr>
              <w:instrText xml:space="preserve"> PAGEREF _Toc225785320 \h </w:instrText>
            </w:r>
            <w:r>
              <w:rPr>
                <w:noProof/>
                <w:webHidden/>
              </w:rPr>
            </w:r>
            <w:r>
              <w:rPr>
                <w:noProof/>
                <w:webHidden/>
              </w:rPr>
              <w:fldChar w:fldCharType="separate"/>
            </w:r>
            <w:r>
              <w:rPr>
                <w:noProof/>
                <w:webHidden/>
              </w:rPr>
              <w:t>29</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321" w:history="1">
            <w:r w:rsidRPr="003D6FBE">
              <w:rPr>
                <w:rStyle w:val="Lienhypertexte"/>
                <w:noProof/>
              </w:rPr>
              <w:t>17 La dette</w:t>
            </w:r>
            <w:r>
              <w:rPr>
                <w:noProof/>
                <w:webHidden/>
              </w:rPr>
              <w:tab/>
            </w:r>
            <w:r>
              <w:rPr>
                <w:noProof/>
                <w:webHidden/>
              </w:rPr>
              <w:fldChar w:fldCharType="begin"/>
            </w:r>
            <w:r>
              <w:rPr>
                <w:noProof/>
                <w:webHidden/>
              </w:rPr>
              <w:instrText xml:space="preserve"> PAGEREF _Toc225785321 \h </w:instrText>
            </w:r>
            <w:r>
              <w:rPr>
                <w:noProof/>
                <w:webHidden/>
              </w:rPr>
            </w:r>
            <w:r>
              <w:rPr>
                <w:noProof/>
                <w:webHidden/>
              </w:rPr>
              <w:fldChar w:fldCharType="separate"/>
            </w:r>
            <w:r>
              <w:rPr>
                <w:noProof/>
                <w:webHidden/>
              </w:rPr>
              <w:t>30</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22" w:history="1">
            <w:r w:rsidRPr="003D6FBE">
              <w:rPr>
                <w:rStyle w:val="Lienhypertexte"/>
                <w:noProof/>
              </w:rPr>
              <w:t>Réalisation d’emprunts nouveaux</w:t>
            </w:r>
            <w:r>
              <w:rPr>
                <w:noProof/>
                <w:webHidden/>
              </w:rPr>
              <w:tab/>
            </w:r>
            <w:r>
              <w:rPr>
                <w:noProof/>
                <w:webHidden/>
              </w:rPr>
              <w:fldChar w:fldCharType="begin"/>
            </w:r>
            <w:r>
              <w:rPr>
                <w:noProof/>
                <w:webHidden/>
              </w:rPr>
              <w:instrText xml:space="preserve"> PAGEREF _Toc225785322 \h </w:instrText>
            </w:r>
            <w:r>
              <w:rPr>
                <w:noProof/>
                <w:webHidden/>
              </w:rPr>
            </w:r>
            <w:r>
              <w:rPr>
                <w:noProof/>
                <w:webHidden/>
              </w:rPr>
              <w:fldChar w:fldCharType="separate"/>
            </w:r>
            <w:r>
              <w:rPr>
                <w:noProof/>
                <w:webHidden/>
              </w:rPr>
              <w:t>30</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23" w:history="1">
            <w:r w:rsidRPr="003D6FBE">
              <w:rPr>
                <w:rStyle w:val="Lienhypertexte"/>
                <w:noProof/>
              </w:rPr>
              <w:t>Gestion active de l’encours</w:t>
            </w:r>
            <w:r>
              <w:rPr>
                <w:noProof/>
                <w:webHidden/>
              </w:rPr>
              <w:tab/>
            </w:r>
            <w:r>
              <w:rPr>
                <w:noProof/>
                <w:webHidden/>
              </w:rPr>
              <w:fldChar w:fldCharType="begin"/>
            </w:r>
            <w:r>
              <w:rPr>
                <w:noProof/>
                <w:webHidden/>
              </w:rPr>
              <w:instrText xml:space="preserve"> PAGEREF _Toc225785323 \h </w:instrText>
            </w:r>
            <w:r>
              <w:rPr>
                <w:noProof/>
                <w:webHidden/>
              </w:rPr>
            </w:r>
            <w:r>
              <w:rPr>
                <w:noProof/>
                <w:webHidden/>
              </w:rPr>
              <w:fldChar w:fldCharType="separate"/>
            </w:r>
            <w:r>
              <w:rPr>
                <w:noProof/>
                <w:webHidden/>
              </w:rPr>
              <w:t>30</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24" w:history="1">
            <w:r w:rsidRPr="003D6FBE">
              <w:rPr>
                <w:rStyle w:val="Lienhypertexte"/>
                <w:noProof/>
              </w:rPr>
              <w:t>Gestion de la trésorerie</w:t>
            </w:r>
            <w:r>
              <w:rPr>
                <w:noProof/>
                <w:webHidden/>
              </w:rPr>
              <w:tab/>
            </w:r>
            <w:r>
              <w:rPr>
                <w:noProof/>
                <w:webHidden/>
              </w:rPr>
              <w:fldChar w:fldCharType="begin"/>
            </w:r>
            <w:r>
              <w:rPr>
                <w:noProof/>
                <w:webHidden/>
              </w:rPr>
              <w:instrText xml:space="preserve"> PAGEREF _Toc225785324 \h </w:instrText>
            </w:r>
            <w:r>
              <w:rPr>
                <w:noProof/>
                <w:webHidden/>
              </w:rPr>
            </w:r>
            <w:r>
              <w:rPr>
                <w:noProof/>
                <w:webHidden/>
              </w:rPr>
              <w:fldChar w:fldCharType="separate"/>
            </w:r>
            <w:r>
              <w:rPr>
                <w:noProof/>
                <w:webHidden/>
              </w:rPr>
              <w:t>31</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25" w:history="1">
            <w:r w:rsidRPr="003D6FBE">
              <w:rPr>
                <w:rStyle w:val="Lienhypertexte"/>
                <w:noProof/>
              </w:rPr>
              <w:t>Information du conseil municipal</w:t>
            </w:r>
            <w:r>
              <w:rPr>
                <w:noProof/>
                <w:webHidden/>
              </w:rPr>
              <w:tab/>
            </w:r>
            <w:r>
              <w:rPr>
                <w:noProof/>
                <w:webHidden/>
              </w:rPr>
              <w:fldChar w:fldCharType="begin"/>
            </w:r>
            <w:r>
              <w:rPr>
                <w:noProof/>
                <w:webHidden/>
              </w:rPr>
              <w:instrText xml:space="preserve"> PAGEREF _Toc225785325 \h </w:instrText>
            </w:r>
            <w:r>
              <w:rPr>
                <w:noProof/>
                <w:webHidden/>
              </w:rPr>
            </w:r>
            <w:r>
              <w:rPr>
                <w:noProof/>
                <w:webHidden/>
              </w:rPr>
              <w:fldChar w:fldCharType="separate"/>
            </w:r>
            <w:r>
              <w:rPr>
                <w:noProof/>
                <w:webHidden/>
              </w:rPr>
              <w:t>31</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326" w:history="1">
            <w:r w:rsidRPr="003D6FBE">
              <w:rPr>
                <w:rStyle w:val="Lienhypertexte"/>
                <w:noProof/>
              </w:rPr>
              <w:t>18 Les engagements hors bilan</w:t>
            </w:r>
            <w:r>
              <w:rPr>
                <w:noProof/>
                <w:webHidden/>
              </w:rPr>
              <w:tab/>
            </w:r>
            <w:r>
              <w:rPr>
                <w:noProof/>
                <w:webHidden/>
              </w:rPr>
              <w:fldChar w:fldCharType="begin"/>
            </w:r>
            <w:r>
              <w:rPr>
                <w:noProof/>
                <w:webHidden/>
              </w:rPr>
              <w:instrText xml:space="preserve"> PAGEREF _Toc225785326 \h </w:instrText>
            </w:r>
            <w:r>
              <w:rPr>
                <w:noProof/>
                <w:webHidden/>
              </w:rPr>
            </w:r>
            <w:r>
              <w:rPr>
                <w:noProof/>
                <w:webHidden/>
              </w:rPr>
              <w:fldChar w:fldCharType="separate"/>
            </w:r>
            <w:r>
              <w:rPr>
                <w:noProof/>
                <w:webHidden/>
              </w:rPr>
              <w:t>32</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27" w:history="1">
            <w:r w:rsidRPr="003D6FBE">
              <w:rPr>
                <w:rStyle w:val="Lienhypertexte"/>
                <w:noProof/>
              </w:rPr>
              <w:t>Emprunts garantis</w:t>
            </w:r>
            <w:r>
              <w:rPr>
                <w:noProof/>
                <w:webHidden/>
              </w:rPr>
              <w:tab/>
            </w:r>
            <w:r>
              <w:rPr>
                <w:noProof/>
                <w:webHidden/>
              </w:rPr>
              <w:fldChar w:fldCharType="begin"/>
            </w:r>
            <w:r>
              <w:rPr>
                <w:noProof/>
                <w:webHidden/>
              </w:rPr>
              <w:instrText xml:space="preserve"> PAGEREF _Toc225785327 \h </w:instrText>
            </w:r>
            <w:r>
              <w:rPr>
                <w:noProof/>
                <w:webHidden/>
              </w:rPr>
            </w:r>
            <w:r>
              <w:rPr>
                <w:noProof/>
                <w:webHidden/>
              </w:rPr>
              <w:fldChar w:fldCharType="separate"/>
            </w:r>
            <w:r>
              <w:rPr>
                <w:noProof/>
                <w:webHidden/>
              </w:rPr>
              <w:t>32</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28" w:history="1">
            <w:r w:rsidRPr="003D6FBE">
              <w:rPr>
                <w:rStyle w:val="Lienhypertexte"/>
                <w:noProof/>
              </w:rPr>
              <w:t>Engagements auprès de l’établissement public foncier de Normandie (EPFN)</w:t>
            </w:r>
            <w:r>
              <w:rPr>
                <w:noProof/>
                <w:webHidden/>
              </w:rPr>
              <w:tab/>
            </w:r>
            <w:r>
              <w:rPr>
                <w:noProof/>
                <w:webHidden/>
              </w:rPr>
              <w:fldChar w:fldCharType="begin"/>
            </w:r>
            <w:r>
              <w:rPr>
                <w:noProof/>
                <w:webHidden/>
              </w:rPr>
              <w:instrText xml:space="preserve"> PAGEREF _Toc225785328 \h </w:instrText>
            </w:r>
            <w:r>
              <w:rPr>
                <w:noProof/>
                <w:webHidden/>
              </w:rPr>
            </w:r>
            <w:r>
              <w:rPr>
                <w:noProof/>
                <w:webHidden/>
              </w:rPr>
              <w:fldChar w:fldCharType="separate"/>
            </w:r>
            <w:r>
              <w:rPr>
                <w:noProof/>
                <w:webHidden/>
              </w:rPr>
              <w:t>32</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29" w:history="1">
            <w:r w:rsidRPr="003D6FBE">
              <w:rPr>
                <w:rStyle w:val="Lienhypertexte"/>
                <w:noProof/>
              </w:rPr>
              <w:t>Autres engagements hors bilan</w:t>
            </w:r>
            <w:r>
              <w:rPr>
                <w:noProof/>
                <w:webHidden/>
              </w:rPr>
              <w:tab/>
            </w:r>
            <w:r>
              <w:rPr>
                <w:noProof/>
                <w:webHidden/>
              </w:rPr>
              <w:fldChar w:fldCharType="begin"/>
            </w:r>
            <w:r>
              <w:rPr>
                <w:noProof/>
                <w:webHidden/>
              </w:rPr>
              <w:instrText xml:space="preserve"> PAGEREF _Toc225785329 \h </w:instrText>
            </w:r>
            <w:r>
              <w:rPr>
                <w:noProof/>
                <w:webHidden/>
              </w:rPr>
            </w:r>
            <w:r>
              <w:rPr>
                <w:noProof/>
                <w:webHidden/>
              </w:rPr>
              <w:fldChar w:fldCharType="separate"/>
            </w:r>
            <w:r>
              <w:rPr>
                <w:noProof/>
                <w:webHidden/>
              </w:rPr>
              <w:t>33</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330" w:history="1">
            <w:r w:rsidRPr="003D6FBE">
              <w:rPr>
                <w:rStyle w:val="Lienhypertexte"/>
                <w:noProof/>
              </w:rPr>
              <w:t>19 Les ratios financiers : lexique</w:t>
            </w:r>
            <w:r>
              <w:rPr>
                <w:noProof/>
                <w:webHidden/>
              </w:rPr>
              <w:tab/>
            </w:r>
            <w:r>
              <w:rPr>
                <w:noProof/>
                <w:webHidden/>
              </w:rPr>
              <w:fldChar w:fldCharType="begin"/>
            </w:r>
            <w:r>
              <w:rPr>
                <w:noProof/>
                <w:webHidden/>
              </w:rPr>
              <w:instrText xml:space="preserve"> PAGEREF _Toc225785330 \h </w:instrText>
            </w:r>
            <w:r>
              <w:rPr>
                <w:noProof/>
                <w:webHidden/>
              </w:rPr>
            </w:r>
            <w:r>
              <w:rPr>
                <w:noProof/>
                <w:webHidden/>
              </w:rPr>
              <w:fldChar w:fldCharType="separate"/>
            </w:r>
            <w:r>
              <w:rPr>
                <w:noProof/>
                <w:webHidden/>
              </w:rPr>
              <w:t>34</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31" w:history="1">
            <w:r w:rsidRPr="003D6FBE">
              <w:rPr>
                <w:rStyle w:val="Lienhypertexte"/>
                <w:noProof/>
              </w:rPr>
              <w:t>Population totale, municipale, comptée à part, et population DGF</w:t>
            </w:r>
            <w:r>
              <w:rPr>
                <w:noProof/>
                <w:webHidden/>
              </w:rPr>
              <w:tab/>
            </w:r>
            <w:r>
              <w:rPr>
                <w:noProof/>
                <w:webHidden/>
              </w:rPr>
              <w:fldChar w:fldCharType="begin"/>
            </w:r>
            <w:r>
              <w:rPr>
                <w:noProof/>
                <w:webHidden/>
              </w:rPr>
              <w:instrText xml:space="preserve"> PAGEREF _Toc225785331 \h </w:instrText>
            </w:r>
            <w:r>
              <w:rPr>
                <w:noProof/>
                <w:webHidden/>
              </w:rPr>
            </w:r>
            <w:r>
              <w:rPr>
                <w:noProof/>
                <w:webHidden/>
              </w:rPr>
              <w:fldChar w:fldCharType="separate"/>
            </w:r>
            <w:r>
              <w:rPr>
                <w:noProof/>
                <w:webHidden/>
              </w:rPr>
              <w:t>34</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32" w:history="1">
            <w:r w:rsidRPr="003D6FBE">
              <w:rPr>
                <w:rStyle w:val="Lienhypertexte"/>
                <w:noProof/>
              </w:rPr>
              <w:t>Notions financières</w:t>
            </w:r>
            <w:r>
              <w:rPr>
                <w:noProof/>
                <w:webHidden/>
              </w:rPr>
              <w:tab/>
            </w:r>
            <w:r>
              <w:rPr>
                <w:noProof/>
                <w:webHidden/>
              </w:rPr>
              <w:fldChar w:fldCharType="begin"/>
            </w:r>
            <w:r>
              <w:rPr>
                <w:noProof/>
                <w:webHidden/>
              </w:rPr>
              <w:instrText xml:space="preserve"> PAGEREF _Toc225785332 \h </w:instrText>
            </w:r>
            <w:r>
              <w:rPr>
                <w:noProof/>
                <w:webHidden/>
              </w:rPr>
            </w:r>
            <w:r>
              <w:rPr>
                <w:noProof/>
                <w:webHidden/>
              </w:rPr>
              <w:fldChar w:fldCharType="separate"/>
            </w:r>
            <w:r>
              <w:rPr>
                <w:noProof/>
                <w:webHidden/>
              </w:rPr>
              <w:t>34</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333" w:history="1">
            <w:r w:rsidRPr="003D6FBE">
              <w:rPr>
                <w:rStyle w:val="Lienhypertexte"/>
                <w:noProof/>
              </w:rPr>
              <w:t>20 Les ratios financiers : définitions</w:t>
            </w:r>
            <w:r>
              <w:rPr>
                <w:noProof/>
                <w:webHidden/>
              </w:rPr>
              <w:tab/>
            </w:r>
            <w:r>
              <w:rPr>
                <w:noProof/>
                <w:webHidden/>
              </w:rPr>
              <w:fldChar w:fldCharType="begin"/>
            </w:r>
            <w:r>
              <w:rPr>
                <w:noProof/>
                <w:webHidden/>
              </w:rPr>
              <w:instrText xml:space="preserve"> PAGEREF _Toc225785333 \h </w:instrText>
            </w:r>
            <w:r>
              <w:rPr>
                <w:noProof/>
                <w:webHidden/>
              </w:rPr>
            </w:r>
            <w:r>
              <w:rPr>
                <w:noProof/>
                <w:webHidden/>
              </w:rPr>
              <w:fldChar w:fldCharType="separate"/>
            </w:r>
            <w:r>
              <w:rPr>
                <w:noProof/>
                <w:webHidden/>
              </w:rPr>
              <w:t>36</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34" w:history="1">
            <w:r w:rsidRPr="003D6FBE">
              <w:rPr>
                <w:rStyle w:val="Lienhypertexte"/>
                <w:noProof/>
              </w:rPr>
              <w:t>Les ratios obligatoires</w:t>
            </w:r>
            <w:r>
              <w:rPr>
                <w:noProof/>
                <w:webHidden/>
              </w:rPr>
              <w:tab/>
            </w:r>
            <w:r>
              <w:rPr>
                <w:noProof/>
                <w:webHidden/>
              </w:rPr>
              <w:fldChar w:fldCharType="begin"/>
            </w:r>
            <w:r>
              <w:rPr>
                <w:noProof/>
                <w:webHidden/>
              </w:rPr>
              <w:instrText xml:space="preserve"> PAGEREF _Toc225785334 \h </w:instrText>
            </w:r>
            <w:r>
              <w:rPr>
                <w:noProof/>
                <w:webHidden/>
              </w:rPr>
            </w:r>
            <w:r>
              <w:rPr>
                <w:noProof/>
                <w:webHidden/>
              </w:rPr>
              <w:fldChar w:fldCharType="separate"/>
            </w:r>
            <w:r>
              <w:rPr>
                <w:noProof/>
                <w:webHidden/>
              </w:rPr>
              <w:t>36</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35" w:history="1">
            <w:r w:rsidRPr="003D6FBE">
              <w:rPr>
                <w:rStyle w:val="Lienhypertexte"/>
                <w:noProof/>
              </w:rPr>
              <w:t>Autres ratios</w:t>
            </w:r>
            <w:r>
              <w:rPr>
                <w:noProof/>
                <w:webHidden/>
              </w:rPr>
              <w:tab/>
            </w:r>
            <w:r>
              <w:rPr>
                <w:noProof/>
                <w:webHidden/>
              </w:rPr>
              <w:fldChar w:fldCharType="begin"/>
            </w:r>
            <w:r>
              <w:rPr>
                <w:noProof/>
                <w:webHidden/>
              </w:rPr>
              <w:instrText xml:space="preserve"> PAGEREF _Toc225785335 \h </w:instrText>
            </w:r>
            <w:r>
              <w:rPr>
                <w:noProof/>
                <w:webHidden/>
              </w:rPr>
            </w:r>
            <w:r>
              <w:rPr>
                <w:noProof/>
                <w:webHidden/>
              </w:rPr>
              <w:fldChar w:fldCharType="separate"/>
            </w:r>
            <w:r>
              <w:rPr>
                <w:noProof/>
                <w:webHidden/>
              </w:rPr>
              <w:t>37</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336" w:history="1">
            <w:r w:rsidRPr="003D6FBE">
              <w:rPr>
                <w:rStyle w:val="Lienhypertexte"/>
                <w:noProof/>
              </w:rPr>
              <w:t>22 Synthèse des principaux choix d’organisation budgétaire et financière propres à la collectivité</w:t>
            </w:r>
            <w:r>
              <w:rPr>
                <w:noProof/>
                <w:webHidden/>
              </w:rPr>
              <w:tab/>
            </w:r>
            <w:r>
              <w:rPr>
                <w:noProof/>
                <w:webHidden/>
              </w:rPr>
              <w:fldChar w:fldCharType="begin"/>
            </w:r>
            <w:r>
              <w:rPr>
                <w:noProof/>
                <w:webHidden/>
              </w:rPr>
              <w:instrText xml:space="preserve"> PAGEREF _Toc225785336 \h </w:instrText>
            </w:r>
            <w:r>
              <w:rPr>
                <w:noProof/>
                <w:webHidden/>
              </w:rPr>
            </w:r>
            <w:r>
              <w:rPr>
                <w:noProof/>
                <w:webHidden/>
              </w:rPr>
              <w:fldChar w:fldCharType="separate"/>
            </w:r>
            <w:r>
              <w:rPr>
                <w:noProof/>
                <w:webHidden/>
              </w:rPr>
              <w:t>38</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37" w:history="1">
            <w:r w:rsidRPr="003D6FBE">
              <w:rPr>
                <w:rStyle w:val="Lienhypertexte"/>
                <w:noProof/>
              </w:rPr>
              <w:t>Modalités de vote du budget :</w:t>
            </w:r>
            <w:r>
              <w:rPr>
                <w:noProof/>
                <w:webHidden/>
              </w:rPr>
              <w:tab/>
            </w:r>
            <w:r>
              <w:rPr>
                <w:noProof/>
                <w:webHidden/>
              </w:rPr>
              <w:fldChar w:fldCharType="begin"/>
            </w:r>
            <w:r>
              <w:rPr>
                <w:noProof/>
                <w:webHidden/>
              </w:rPr>
              <w:instrText xml:space="preserve"> PAGEREF _Toc225785337 \h </w:instrText>
            </w:r>
            <w:r>
              <w:rPr>
                <w:noProof/>
                <w:webHidden/>
              </w:rPr>
            </w:r>
            <w:r>
              <w:rPr>
                <w:noProof/>
                <w:webHidden/>
              </w:rPr>
              <w:fldChar w:fldCharType="separate"/>
            </w:r>
            <w:r>
              <w:rPr>
                <w:noProof/>
                <w:webHidden/>
              </w:rPr>
              <w:t>38</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38" w:history="1">
            <w:r w:rsidRPr="003D6FBE">
              <w:rPr>
                <w:rStyle w:val="Lienhypertexte"/>
                <w:noProof/>
              </w:rPr>
              <w:t>Gestion des crédits pluriannuels :</w:t>
            </w:r>
            <w:r>
              <w:rPr>
                <w:noProof/>
                <w:webHidden/>
              </w:rPr>
              <w:tab/>
            </w:r>
            <w:r>
              <w:rPr>
                <w:noProof/>
                <w:webHidden/>
              </w:rPr>
              <w:fldChar w:fldCharType="begin"/>
            </w:r>
            <w:r>
              <w:rPr>
                <w:noProof/>
                <w:webHidden/>
              </w:rPr>
              <w:instrText xml:space="preserve"> PAGEREF _Toc225785338 \h </w:instrText>
            </w:r>
            <w:r>
              <w:rPr>
                <w:noProof/>
                <w:webHidden/>
              </w:rPr>
            </w:r>
            <w:r>
              <w:rPr>
                <w:noProof/>
                <w:webHidden/>
              </w:rPr>
              <w:fldChar w:fldCharType="separate"/>
            </w:r>
            <w:r>
              <w:rPr>
                <w:noProof/>
                <w:webHidden/>
              </w:rPr>
              <w:t>38</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39" w:history="1">
            <w:r w:rsidRPr="003D6FBE">
              <w:rPr>
                <w:rStyle w:val="Lienhypertexte"/>
                <w:noProof/>
              </w:rPr>
              <w:t>Clôture budgétaire : restes à réaliser et ouverture anticipée des crédits</w:t>
            </w:r>
            <w:r>
              <w:rPr>
                <w:noProof/>
                <w:webHidden/>
              </w:rPr>
              <w:tab/>
            </w:r>
            <w:r>
              <w:rPr>
                <w:noProof/>
                <w:webHidden/>
              </w:rPr>
              <w:fldChar w:fldCharType="begin"/>
            </w:r>
            <w:r>
              <w:rPr>
                <w:noProof/>
                <w:webHidden/>
              </w:rPr>
              <w:instrText xml:space="preserve"> PAGEREF _Toc225785339 \h </w:instrText>
            </w:r>
            <w:r>
              <w:rPr>
                <w:noProof/>
                <w:webHidden/>
              </w:rPr>
            </w:r>
            <w:r>
              <w:rPr>
                <w:noProof/>
                <w:webHidden/>
              </w:rPr>
              <w:fldChar w:fldCharType="separate"/>
            </w:r>
            <w:r>
              <w:rPr>
                <w:noProof/>
                <w:webHidden/>
              </w:rPr>
              <w:t>38</w:t>
            </w:r>
            <w:r>
              <w:rPr>
                <w:noProof/>
                <w:webHidden/>
              </w:rPr>
              <w:fldChar w:fldCharType="end"/>
            </w:r>
          </w:hyperlink>
        </w:p>
        <w:p w:rsidR="00103E83" w:rsidRDefault="00103E83">
          <w:pPr>
            <w:pStyle w:val="TM2"/>
            <w:tabs>
              <w:tab w:val="right" w:leader="dot" w:pos="9060"/>
            </w:tabs>
            <w:rPr>
              <w:rFonts w:eastAsiaTheme="minorEastAsia" w:cstheme="minorBidi"/>
              <w:smallCaps w:val="0"/>
              <w:noProof/>
              <w:sz w:val="22"/>
              <w:szCs w:val="22"/>
              <w:lang w:eastAsia="fr-FR"/>
            </w:rPr>
          </w:pPr>
          <w:hyperlink w:anchor="_Toc225785340" w:history="1">
            <w:r w:rsidRPr="003D6FBE">
              <w:rPr>
                <w:rStyle w:val="Lienhypertexte"/>
                <w:noProof/>
              </w:rPr>
              <w:t>Divers</w:t>
            </w:r>
            <w:r>
              <w:rPr>
                <w:noProof/>
                <w:webHidden/>
              </w:rPr>
              <w:tab/>
            </w:r>
            <w:r>
              <w:rPr>
                <w:noProof/>
                <w:webHidden/>
              </w:rPr>
              <w:fldChar w:fldCharType="begin"/>
            </w:r>
            <w:r>
              <w:rPr>
                <w:noProof/>
                <w:webHidden/>
              </w:rPr>
              <w:instrText xml:space="preserve"> PAGEREF _Toc225785340 \h </w:instrText>
            </w:r>
            <w:r>
              <w:rPr>
                <w:noProof/>
                <w:webHidden/>
              </w:rPr>
            </w:r>
            <w:r>
              <w:rPr>
                <w:noProof/>
                <w:webHidden/>
              </w:rPr>
              <w:fldChar w:fldCharType="separate"/>
            </w:r>
            <w:r>
              <w:rPr>
                <w:noProof/>
                <w:webHidden/>
              </w:rPr>
              <w:t>39</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341" w:history="1">
            <w:r w:rsidRPr="003D6FBE">
              <w:rPr>
                <w:rStyle w:val="Lienhypertexte"/>
                <w:noProof/>
              </w:rPr>
              <w:t>Annexe 1 : Modalités de calcul des amortissements</w:t>
            </w:r>
            <w:r>
              <w:rPr>
                <w:noProof/>
                <w:webHidden/>
              </w:rPr>
              <w:tab/>
            </w:r>
            <w:r>
              <w:rPr>
                <w:noProof/>
                <w:webHidden/>
              </w:rPr>
              <w:fldChar w:fldCharType="begin"/>
            </w:r>
            <w:r>
              <w:rPr>
                <w:noProof/>
                <w:webHidden/>
              </w:rPr>
              <w:instrText xml:space="preserve"> PAGEREF _Toc225785341 \h </w:instrText>
            </w:r>
            <w:r>
              <w:rPr>
                <w:noProof/>
                <w:webHidden/>
              </w:rPr>
            </w:r>
            <w:r>
              <w:rPr>
                <w:noProof/>
                <w:webHidden/>
              </w:rPr>
              <w:fldChar w:fldCharType="separate"/>
            </w:r>
            <w:r>
              <w:rPr>
                <w:noProof/>
                <w:webHidden/>
              </w:rPr>
              <w:t>40</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342" w:history="1">
            <w:r w:rsidRPr="003D6FBE">
              <w:rPr>
                <w:rStyle w:val="Lienhypertexte"/>
                <w:noProof/>
              </w:rPr>
              <w:t>Annexe 2 : Liste des fonctions selon la M57</w:t>
            </w:r>
            <w:r>
              <w:rPr>
                <w:noProof/>
                <w:webHidden/>
              </w:rPr>
              <w:tab/>
            </w:r>
            <w:r>
              <w:rPr>
                <w:noProof/>
                <w:webHidden/>
              </w:rPr>
              <w:fldChar w:fldCharType="begin"/>
            </w:r>
            <w:r>
              <w:rPr>
                <w:noProof/>
                <w:webHidden/>
              </w:rPr>
              <w:instrText xml:space="preserve"> PAGEREF _Toc225785342 \h </w:instrText>
            </w:r>
            <w:r>
              <w:rPr>
                <w:noProof/>
                <w:webHidden/>
              </w:rPr>
            </w:r>
            <w:r>
              <w:rPr>
                <w:noProof/>
                <w:webHidden/>
              </w:rPr>
              <w:fldChar w:fldCharType="separate"/>
            </w:r>
            <w:r>
              <w:rPr>
                <w:noProof/>
                <w:webHidden/>
              </w:rPr>
              <w:t>42</w:t>
            </w:r>
            <w:r>
              <w:rPr>
                <w:noProof/>
                <w:webHidden/>
              </w:rPr>
              <w:fldChar w:fldCharType="end"/>
            </w:r>
          </w:hyperlink>
        </w:p>
        <w:p w:rsidR="00103E83" w:rsidRDefault="00103E83">
          <w:pPr>
            <w:pStyle w:val="TM1"/>
            <w:tabs>
              <w:tab w:val="right" w:leader="dot" w:pos="9060"/>
            </w:tabs>
            <w:rPr>
              <w:rFonts w:eastAsiaTheme="minorEastAsia" w:cstheme="minorBidi"/>
              <w:b w:val="0"/>
              <w:bCs w:val="0"/>
              <w:caps w:val="0"/>
              <w:noProof/>
              <w:sz w:val="22"/>
              <w:szCs w:val="22"/>
              <w:lang w:eastAsia="fr-FR"/>
            </w:rPr>
          </w:pPr>
          <w:hyperlink w:anchor="_Toc225785343" w:history="1">
            <w:r w:rsidRPr="003D6FBE">
              <w:rPr>
                <w:rStyle w:val="Lienhypertexte"/>
                <w:noProof/>
              </w:rPr>
              <w:t>Annexe 3 : Liste des chapitres budgétaires votés  par nature selon la M57</w:t>
            </w:r>
            <w:r>
              <w:rPr>
                <w:noProof/>
                <w:webHidden/>
              </w:rPr>
              <w:tab/>
            </w:r>
            <w:r>
              <w:rPr>
                <w:noProof/>
                <w:webHidden/>
              </w:rPr>
              <w:fldChar w:fldCharType="begin"/>
            </w:r>
            <w:r>
              <w:rPr>
                <w:noProof/>
                <w:webHidden/>
              </w:rPr>
              <w:instrText xml:space="preserve"> PAGEREF _Toc225785343 \h </w:instrText>
            </w:r>
            <w:r>
              <w:rPr>
                <w:noProof/>
                <w:webHidden/>
              </w:rPr>
            </w:r>
            <w:r>
              <w:rPr>
                <w:noProof/>
                <w:webHidden/>
              </w:rPr>
              <w:fldChar w:fldCharType="separate"/>
            </w:r>
            <w:r>
              <w:rPr>
                <w:noProof/>
                <w:webHidden/>
              </w:rPr>
              <w:t>48</w:t>
            </w:r>
            <w:r>
              <w:rPr>
                <w:noProof/>
                <w:webHidden/>
              </w:rPr>
              <w:fldChar w:fldCharType="end"/>
            </w:r>
          </w:hyperlink>
        </w:p>
        <w:p w:rsidR="00E02FDB" w:rsidRDefault="00E02FDB">
          <w:r>
            <w:rPr>
              <w:b/>
              <w:bCs/>
            </w:rPr>
            <w:fldChar w:fldCharType="end"/>
          </w:r>
        </w:p>
      </w:sdtContent>
    </w:sdt>
    <w:p w:rsidR="000027EE" w:rsidRDefault="000027EE">
      <w:pPr>
        <w:jc w:val="left"/>
        <w:rPr>
          <w:rFonts w:asciiTheme="majorHAnsi" w:eastAsiaTheme="majorEastAsia" w:hAnsiTheme="majorHAnsi" w:cstheme="majorBidi"/>
          <w:b/>
          <w:bCs/>
          <w:color w:val="5F497A" w:themeColor="accent4" w:themeShade="BF"/>
          <w:sz w:val="28"/>
          <w:szCs w:val="28"/>
        </w:rPr>
      </w:pPr>
      <w:bookmarkStart w:id="4" w:name="_Toc144372006"/>
      <w:bookmarkStart w:id="5" w:name="_Toc144807518"/>
      <w:bookmarkStart w:id="6" w:name="_Toc144807765"/>
      <w:bookmarkStart w:id="7" w:name="_Toc144807860"/>
      <w:bookmarkStart w:id="8" w:name="_Toc144807861"/>
      <w:r>
        <w:br w:type="page"/>
      </w:r>
    </w:p>
    <w:p w:rsidR="000027EE" w:rsidRPr="002F3D6F" w:rsidRDefault="000027EE" w:rsidP="000027EE">
      <w:pPr>
        <w:pStyle w:val="Titre1"/>
      </w:pPr>
      <w:bookmarkStart w:id="9" w:name="_Toc225785273"/>
      <w:r w:rsidRPr="002F3D6F">
        <w:lastRenderedPageBreak/>
        <w:t>Introduction</w:t>
      </w:r>
      <w:bookmarkEnd w:id="4"/>
      <w:bookmarkEnd w:id="5"/>
      <w:bookmarkEnd w:id="6"/>
      <w:bookmarkEnd w:id="7"/>
      <w:bookmarkEnd w:id="9"/>
    </w:p>
    <w:p w:rsidR="000027EE" w:rsidRDefault="000027EE" w:rsidP="000027EE">
      <w:r>
        <w:t xml:space="preserve">Le </w:t>
      </w:r>
      <w:r w:rsidRPr="00F93D8B">
        <w:rPr>
          <w:b/>
        </w:rPr>
        <w:t>règlement budgétaire financier</w:t>
      </w:r>
      <w:r>
        <w:t xml:space="preserve"> (RBF) est un document formalisant les règles internes relatives à la gestion budgétaire et comptable d’une collectivité. Il est voté par son assemblée délibérante. </w:t>
      </w:r>
    </w:p>
    <w:p w:rsidR="000027EE" w:rsidRDefault="000027EE" w:rsidP="000027EE">
      <w:r>
        <w:t>Jusqu’alors, seuls les régions, les départements et les métropoles avaient l’obligation de se doter d’un règlement budgétaire et financier (RBF). Mais le référentiel M57 a étendu cette obligation aux communes, à leurs groupements et à leurs établissements pour améliorer la gestion pluriannuelle et la transparence de l’information budgétaire et comptable. En conséquence, le changement de nomenclature budgétaire et comptable à compter du 1</w:t>
      </w:r>
      <w:r w:rsidRPr="00FB2580">
        <w:rPr>
          <w:vertAlign w:val="superscript"/>
        </w:rPr>
        <w:t>er</w:t>
      </w:r>
      <w:r>
        <w:t xml:space="preserve"> janvier 2024 implique l’adoption du présent règlement budgétaire et financier. Il sera valable pour la durée du mandat. </w:t>
      </w:r>
    </w:p>
    <w:p w:rsidR="000027EE" w:rsidRDefault="000027EE" w:rsidP="000027EE">
      <w:r>
        <w:t xml:space="preserve">A l’issue du renouvellement de l’assemblée délibérante, un nouveau RBF aura à être adopté en début de mandature, avant l’adoption du premier budget primitif. </w:t>
      </w:r>
    </w:p>
    <w:p w:rsidR="000027EE" w:rsidRDefault="000027EE" w:rsidP="000027EE"/>
    <w:p w:rsidR="000027EE" w:rsidRDefault="000027EE" w:rsidP="000027EE">
      <w:r>
        <w:t>Le règlement budgétaire et financier permet de formaliser et préciser les règles de gestion budgétaire et comptable applicables au sein de la collectivité. Ce faisant, il vise à :</w:t>
      </w:r>
    </w:p>
    <w:p w:rsidR="000027EE" w:rsidRDefault="000027EE" w:rsidP="000027EE">
      <w:pPr>
        <w:pStyle w:val="Paragraphedeliste"/>
        <w:numPr>
          <w:ilvl w:val="0"/>
          <w:numId w:val="2"/>
        </w:numPr>
      </w:pPr>
      <w:r>
        <w:t>décrire les procédures de la collectivité, les faire connaître avec exactitude;</w:t>
      </w:r>
    </w:p>
    <w:p w:rsidR="000027EE" w:rsidRDefault="000027EE" w:rsidP="000027EE">
      <w:pPr>
        <w:pStyle w:val="Paragraphedeliste"/>
        <w:numPr>
          <w:ilvl w:val="0"/>
          <w:numId w:val="2"/>
        </w:numPr>
      </w:pPr>
      <w:r>
        <w:t>rappeler les normes et respecter le principe de permanence des méthodes ;</w:t>
      </w:r>
    </w:p>
    <w:p w:rsidR="000027EE" w:rsidRDefault="000027EE" w:rsidP="000027EE">
      <w:pPr>
        <w:pStyle w:val="Paragraphedeliste"/>
        <w:numPr>
          <w:ilvl w:val="0"/>
          <w:numId w:val="2"/>
        </w:numPr>
      </w:pPr>
      <w:r>
        <w:t>préciser certains éléments, notamment en matière d’autorisation d’engagement (AE), d’autorisation de programme (AP) et de crédit de paiement (CP), conformément aux dispositions du CGCT ;</w:t>
      </w:r>
      <w:r w:rsidRPr="009820DB">
        <w:t xml:space="preserve"> </w:t>
      </w:r>
    </w:p>
    <w:p w:rsidR="000027EE" w:rsidRDefault="000027EE" w:rsidP="000027EE">
      <w:pPr>
        <w:pStyle w:val="Paragraphedeliste"/>
        <w:numPr>
          <w:ilvl w:val="0"/>
          <w:numId w:val="2"/>
        </w:numPr>
      </w:pPr>
      <w:r>
        <w:t>parfaire l’information du conseil municipal.</w:t>
      </w:r>
    </w:p>
    <w:p w:rsidR="000027EE" w:rsidRDefault="000027EE" w:rsidP="000027EE">
      <w:r>
        <w:t>Le présent règlement budgétaire et financier est valable pour la Ville de Sotteville-lès-Rouen mais également pour le centre communal d’action sociale (CCAS).</w:t>
      </w:r>
    </w:p>
    <w:p w:rsidR="000027EE" w:rsidRDefault="000027EE" w:rsidP="000027EE">
      <w:pPr>
        <w:jc w:val="left"/>
      </w:pPr>
      <w:r>
        <w:t>Il prend la forme de fiches.</w:t>
      </w:r>
    </w:p>
    <w:p w:rsidR="000027EE" w:rsidRDefault="000027EE">
      <w:pPr>
        <w:jc w:val="left"/>
      </w:pPr>
      <w:r>
        <w:br w:type="page"/>
      </w:r>
    </w:p>
    <w:p w:rsidR="009820DB" w:rsidRDefault="00967A1F" w:rsidP="0074583B">
      <w:pPr>
        <w:pStyle w:val="Titre1"/>
      </w:pPr>
      <w:bookmarkStart w:id="10" w:name="_Toc225785274"/>
      <w:r>
        <w:lastRenderedPageBreak/>
        <w:t>0</w:t>
      </w:r>
      <w:r w:rsidR="0059605B">
        <w:t xml:space="preserve">1 </w:t>
      </w:r>
      <w:r w:rsidR="009820DB">
        <w:t>Définition</w:t>
      </w:r>
      <w:r w:rsidR="00D67961">
        <w:t>, principe</w:t>
      </w:r>
      <w:r w:rsidR="009820DB">
        <w:t>s et cadre réglementaire</w:t>
      </w:r>
      <w:bookmarkEnd w:id="0"/>
      <w:bookmarkEnd w:id="1"/>
      <w:bookmarkEnd w:id="2"/>
      <w:bookmarkEnd w:id="8"/>
      <w:bookmarkEnd w:id="10"/>
    </w:p>
    <w:p w:rsidR="00853514" w:rsidRDefault="00853514" w:rsidP="000F25F6">
      <w:pPr>
        <w:spacing w:after="0"/>
      </w:pPr>
      <w:r w:rsidRPr="00853514">
        <w:t xml:space="preserve">Le </w:t>
      </w:r>
      <w:r w:rsidRPr="00D67961">
        <w:rPr>
          <w:b/>
        </w:rPr>
        <w:t>budget</w:t>
      </w:r>
      <w:r w:rsidRPr="00853514">
        <w:t xml:space="preserve"> est l'acte par lequel sont prévues et autorisées les recettes et les dépenses annuelles de la collectivité.</w:t>
      </w:r>
      <w:r>
        <w:t xml:space="preserve"> </w:t>
      </w:r>
      <w:r w:rsidR="009C0CF6">
        <w:t>Cet acte est régi par de</w:t>
      </w:r>
      <w:r>
        <w:t xml:space="preserve"> grands principes budgétaires :</w:t>
      </w:r>
    </w:p>
    <w:p w:rsidR="00853514" w:rsidRDefault="00820E12" w:rsidP="000F25F6">
      <w:pPr>
        <w:pStyle w:val="Paragraphedeliste"/>
        <w:numPr>
          <w:ilvl w:val="0"/>
          <w:numId w:val="36"/>
        </w:numPr>
      </w:pPr>
      <w:r w:rsidRPr="00D67961">
        <w:rPr>
          <w:b/>
        </w:rPr>
        <w:t>l</w:t>
      </w:r>
      <w:r w:rsidR="00853514" w:rsidRPr="00D67961">
        <w:rPr>
          <w:b/>
        </w:rPr>
        <w:t>’annualité</w:t>
      </w:r>
      <w:r w:rsidR="00D67961">
        <w:t> : l</w:t>
      </w:r>
      <w:r w:rsidR="00D67961" w:rsidRPr="009C0CF6">
        <w:t>’autorisation budgétaire donnée par le conseil municipal pour collecter les recettes publiques et mettre en œuvre les dépenses ne vaut que pour un an</w:t>
      </w:r>
      <w:r w:rsidR="00853514">
        <w:t> ;</w:t>
      </w:r>
    </w:p>
    <w:p w:rsidR="009820DB" w:rsidRDefault="00820E12" w:rsidP="000F25F6">
      <w:pPr>
        <w:pStyle w:val="Paragraphedeliste"/>
        <w:numPr>
          <w:ilvl w:val="0"/>
          <w:numId w:val="36"/>
        </w:numPr>
      </w:pPr>
      <w:r w:rsidRPr="00D67961">
        <w:rPr>
          <w:b/>
        </w:rPr>
        <w:t>la spécialité</w:t>
      </w:r>
      <w:r w:rsidR="00D67961">
        <w:t> : l</w:t>
      </w:r>
      <w:r w:rsidR="00D67961" w:rsidRPr="00D67961">
        <w:t>es dépenses et recettes sont ouvertes selon une destination décidée par le conseil municipal ; les crédits ouverts en dépense ont un caractère limitatif</w:t>
      </w:r>
      <w:r>
        <w:t> ;</w:t>
      </w:r>
    </w:p>
    <w:p w:rsidR="00820E12" w:rsidRDefault="00820E12" w:rsidP="000F25F6">
      <w:pPr>
        <w:pStyle w:val="Paragraphedeliste"/>
        <w:numPr>
          <w:ilvl w:val="0"/>
          <w:numId w:val="36"/>
        </w:numPr>
      </w:pPr>
      <w:r w:rsidRPr="00D67961">
        <w:rPr>
          <w:b/>
        </w:rPr>
        <w:t>l’universalité</w:t>
      </w:r>
      <w:r w:rsidR="00D67961">
        <w:t> : l</w:t>
      </w:r>
      <w:r w:rsidR="00D67961" w:rsidRPr="00D67961">
        <w:t>e budget décrit, pour la durée de l’exercice, l’ensemble des recettes qui financent l’ensemble des dépenses, sans que soit établie une relation entre certaines dépenses et certaines recettes : les recettes ne sont pas affectées à des dépenses, la vision budgétaire est globale et non morcelée, ce qui garantit la transparence de l’acte</w:t>
      </w:r>
      <w:r w:rsidR="009C0CF6">
        <w:t> ;</w:t>
      </w:r>
    </w:p>
    <w:p w:rsidR="00820E12" w:rsidRDefault="00820E12" w:rsidP="000F25F6">
      <w:pPr>
        <w:pStyle w:val="Paragraphedeliste"/>
        <w:numPr>
          <w:ilvl w:val="0"/>
          <w:numId w:val="36"/>
        </w:numPr>
      </w:pPr>
      <w:r w:rsidRPr="00D67961">
        <w:rPr>
          <w:b/>
        </w:rPr>
        <w:t>L’unité</w:t>
      </w:r>
      <w:r w:rsidR="00D67961">
        <w:t xml:space="preserve"> : l’ensemble du </w:t>
      </w:r>
      <w:r w:rsidR="00D67961" w:rsidRPr="00D67961">
        <w:t>budget figure dans un document unique, à des fins de lisibilité</w:t>
      </w:r>
      <w:r w:rsidR="009C0CF6">
        <w:t> ;</w:t>
      </w:r>
    </w:p>
    <w:p w:rsidR="00820E12" w:rsidRDefault="00820E12" w:rsidP="000F25F6">
      <w:pPr>
        <w:pStyle w:val="Paragraphedeliste"/>
        <w:numPr>
          <w:ilvl w:val="0"/>
          <w:numId w:val="36"/>
        </w:numPr>
      </w:pPr>
      <w:r w:rsidRPr="00D67961">
        <w:rPr>
          <w:b/>
        </w:rPr>
        <w:t>la sincérité</w:t>
      </w:r>
      <w:r w:rsidR="00D67961">
        <w:t> : l</w:t>
      </w:r>
      <w:r w:rsidR="00D67961" w:rsidRPr="00D67961">
        <w:t>es informations financières fournies sont exhaustives, cohérentes et exactes.</w:t>
      </w:r>
    </w:p>
    <w:p w:rsidR="009C2FF0" w:rsidRDefault="009C0CF6" w:rsidP="000F25F6">
      <w:pPr>
        <w:spacing w:after="0"/>
      </w:pPr>
      <w:r>
        <w:t xml:space="preserve">Le cadre réglementaire du budget de Sotteville-lès-Rouen est </w:t>
      </w:r>
      <w:r w:rsidR="009C2FF0">
        <w:t>constitué</w:t>
      </w:r>
      <w:r>
        <w:t xml:space="preserve"> par le code général des collectivités </w:t>
      </w:r>
      <w:r w:rsidR="003B6F4F">
        <w:t>territoriales</w:t>
      </w:r>
      <w:r w:rsidR="00421404">
        <w:t xml:space="preserve"> </w:t>
      </w:r>
      <w:r w:rsidR="009C2FF0">
        <w:t>ainsi que</w:t>
      </w:r>
      <w:r>
        <w:t xml:space="preserve"> par une instruction ministérielle budgétaire et comptable, à savoir, à partir du 1</w:t>
      </w:r>
      <w:r w:rsidRPr="009C0CF6">
        <w:rPr>
          <w:vertAlign w:val="superscript"/>
        </w:rPr>
        <w:t>er</w:t>
      </w:r>
      <w:r>
        <w:t xml:space="preserve"> janvier 2024, </w:t>
      </w:r>
      <w:r w:rsidR="009C2FF0">
        <w:t>la</w:t>
      </w:r>
      <w:r>
        <w:t xml:space="preserve"> M57.</w:t>
      </w:r>
      <w:r w:rsidR="007F43A8">
        <w:t xml:space="preserve"> </w:t>
      </w:r>
      <w:r w:rsidR="0061631D">
        <w:t>L</w:t>
      </w:r>
      <w:r w:rsidR="00702706">
        <w:t>’adoption de la M57</w:t>
      </w:r>
      <w:r w:rsidR="0061631D">
        <w:t xml:space="preserve"> implique le suivi d’un cadre budgétaire spécifique</w:t>
      </w:r>
      <w:r w:rsidR="000F25F6">
        <w:rPr>
          <w:rStyle w:val="Appelnotedebasdep"/>
        </w:rPr>
        <w:footnoteReference w:id="1"/>
      </w:r>
      <w:r w:rsidR="0061631D">
        <w:t>, adapté du cadre propre aux Métropoles</w:t>
      </w:r>
      <w:r w:rsidR="000F25F6">
        <w:t xml:space="preserve">. </w:t>
      </w:r>
    </w:p>
    <w:p w:rsidR="0061631D" w:rsidRDefault="0061631D" w:rsidP="000F25F6">
      <w:pPr>
        <w:spacing w:after="0"/>
      </w:pPr>
    </w:p>
    <w:p w:rsidR="0061631D" w:rsidRDefault="007F43A8" w:rsidP="0061631D">
      <w:pPr>
        <w:spacing w:after="0"/>
      </w:pPr>
      <w:r>
        <w:t xml:space="preserve">Les finances publiques sont plus généralement régies par </w:t>
      </w:r>
      <w:r w:rsidRPr="007F43A8">
        <w:t xml:space="preserve">la loi organique relative aux lois de finances du 1er août 2001 et </w:t>
      </w:r>
      <w:r>
        <w:t xml:space="preserve">le </w:t>
      </w:r>
      <w:r w:rsidRPr="007F43A8">
        <w:t>décret n°2012-1246 du 7 novembre 2012 relatif à la gestion budgétaire et comptable publique</w:t>
      </w:r>
      <w:r>
        <w:t>.</w:t>
      </w:r>
      <w:r w:rsidR="0061631D">
        <w:t xml:space="preserve"> </w:t>
      </w:r>
    </w:p>
    <w:p w:rsidR="009C2FF0" w:rsidRDefault="006C0A86" w:rsidP="0061631D">
      <w:r>
        <w:t>La comptabilité publique distingue les ordonnateurs des comptables :</w:t>
      </w:r>
    </w:p>
    <w:p w:rsidR="007D42F1" w:rsidRDefault="006C0A86" w:rsidP="00846C9E">
      <w:pPr>
        <w:pStyle w:val="Paragraphedeliste"/>
        <w:numPr>
          <w:ilvl w:val="0"/>
          <w:numId w:val="15"/>
        </w:numPr>
      </w:pPr>
      <w:r w:rsidRPr="007D42F1">
        <w:rPr>
          <w:b/>
        </w:rPr>
        <w:t>L</w:t>
      </w:r>
      <w:r w:rsidR="00472E37" w:rsidRPr="007D42F1">
        <w:rPr>
          <w:b/>
        </w:rPr>
        <w:t>’</w:t>
      </w:r>
      <w:r w:rsidRPr="007D42F1">
        <w:rPr>
          <w:b/>
        </w:rPr>
        <w:t>ordonnateur</w:t>
      </w:r>
      <w:r w:rsidRPr="006C0A86">
        <w:t xml:space="preserve"> prescrit l'exécution des recettes et des dépenses. </w:t>
      </w:r>
      <w:r>
        <w:t>Il</w:t>
      </w:r>
      <w:r w:rsidR="00472E37">
        <w:t xml:space="preserve"> constate</w:t>
      </w:r>
      <w:r>
        <w:t xml:space="preserve"> les droits et les obligations, liquide les recettes et émet les ordres de recouvrer. Il engage, liquide et ordonnance les dépenses. Le cas échéant, il assure la programmation, la répartition et la mise à disposition des crédits. Il établit les documents nécessaires à la tenue, par le comptable public, des comptabilités dont la charge incombe à ce dernier.</w:t>
      </w:r>
      <w:r w:rsidR="00472E37">
        <w:t xml:space="preserve"> S’agissant des collectivités et de leurs établissements publics, la qualité d’ordonnateur est conférée à la personne qui préside l’assemblée délibérante.</w:t>
      </w:r>
    </w:p>
    <w:p w:rsidR="00165F9D" w:rsidRDefault="006C0A86" w:rsidP="00846C9E">
      <w:pPr>
        <w:pStyle w:val="Paragraphedeliste"/>
        <w:numPr>
          <w:ilvl w:val="0"/>
          <w:numId w:val="15"/>
        </w:numPr>
      </w:pPr>
      <w:r w:rsidRPr="007D42F1">
        <w:rPr>
          <w:b/>
        </w:rPr>
        <w:t>Le comptable</w:t>
      </w:r>
      <w:r>
        <w:t xml:space="preserve"> public</w:t>
      </w:r>
      <w:r w:rsidR="00472E37">
        <w:t xml:space="preserve"> est un agent de droit public ayant</w:t>
      </w:r>
      <w:r w:rsidR="00165F9D">
        <w:t xml:space="preserve"> la</w:t>
      </w:r>
      <w:r w:rsidR="00472E37">
        <w:t xml:space="preserve"> charge exclusive de manier les fonds et de tenir les comptes des personnes </w:t>
      </w:r>
      <w:r w:rsidR="00165F9D">
        <w:t>morales publiques</w:t>
      </w:r>
      <w:r w:rsidR="00472E37">
        <w:t>.</w:t>
      </w:r>
      <w:r w:rsidR="00165F9D">
        <w:t xml:space="preserve"> Ses missions consistent </w:t>
      </w:r>
      <w:r w:rsidR="007D42F1">
        <w:t xml:space="preserve">notamment </w:t>
      </w:r>
      <w:r w:rsidR="00165F9D">
        <w:t>à recouvre</w:t>
      </w:r>
      <w:r w:rsidR="007D42F1">
        <w:t>r l</w:t>
      </w:r>
      <w:r w:rsidR="00165F9D">
        <w:t xml:space="preserve">es créances </w:t>
      </w:r>
      <w:r w:rsidR="007D42F1">
        <w:t>et à mettre en paiement l</w:t>
      </w:r>
      <w:r w:rsidR="00165F9D">
        <w:t xml:space="preserve">es </w:t>
      </w:r>
      <w:r w:rsidR="007D42F1">
        <w:t>d</w:t>
      </w:r>
      <w:r w:rsidR="00165F9D">
        <w:t>épenses</w:t>
      </w:r>
      <w:r w:rsidR="007D42F1">
        <w:t xml:space="preserve"> décidées par</w:t>
      </w:r>
      <w:r w:rsidR="00165F9D">
        <w:t xml:space="preserve"> </w:t>
      </w:r>
      <w:r w:rsidR="007D42F1">
        <w:t>l</w:t>
      </w:r>
      <w:r w:rsidR="00165F9D">
        <w:t>es ordonnateurs</w:t>
      </w:r>
      <w:r w:rsidR="007D42F1">
        <w:t xml:space="preserve">. Pour ce faire, il est tenu d’exercer un contrôle préalable sur les ordres de paiement (les « mandats ») ou de recouvrement (les « titres ») reçus de l’ordonnateur. </w:t>
      </w:r>
    </w:p>
    <w:p w:rsidR="0059605B" w:rsidRDefault="00C168AD" w:rsidP="00846C9E">
      <w:r w:rsidRPr="00C168AD">
        <w:t>Le budget de la commune est établi en section de fonctionnement et section d'investissement, tant en recettes qu'en dépenses</w:t>
      </w:r>
      <w:r>
        <w:t xml:space="preserve">. Il </w:t>
      </w:r>
      <w:r w:rsidR="00924B3D">
        <w:t xml:space="preserve">se </w:t>
      </w:r>
      <w:r>
        <w:t xml:space="preserve">doit </w:t>
      </w:r>
      <w:r w:rsidR="00924B3D">
        <w:t>d’</w:t>
      </w:r>
      <w:r>
        <w:t>être équilibré</w:t>
      </w:r>
      <w:r w:rsidR="00706D92">
        <w:t xml:space="preserve"> (cf. fiche </w:t>
      </w:r>
      <w:r w:rsidR="00076C4A">
        <w:t>05</w:t>
      </w:r>
      <w:r w:rsidR="00706D92">
        <w:t>)</w:t>
      </w:r>
      <w:r w:rsidR="007D42F1">
        <w:t>.</w:t>
      </w:r>
      <w:r>
        <w:t xml:space="preserve"> </w:t>
      </w:r>
      <w:r w:rsidR="0059605B">
        <w:br w:type="page"/>
      </w:r>
    </w:p>
    <w:p w:rsidR="009C2FF0" w:rsidRDefault="00967A1F" w:rsidP="0074583B">
      <w:pPr>
        <w:pStyle w:val="Titre1"/>
      </w:pPr>
      <w:bookmarkStart w:id="11" w:name="_Toc144372008"/>
      <w:bookmarkStart w:id="12" w:name="_Toc144807520"/>
      <w:bookmarkStart w:id="13" w:name="_Toc144807767"/>
      <w:bookmarkStart w:id="14" w:name="_Toc144807862"/>
      <w:bookmarkStart w:id="15" w:name="_Toc225785275"/>
      <w:r>
        <w:lastRenderedPageBreak/>
        <w:t>0</w:t>
      </w:r>
      <w:r w:rsidR="0059605B">
        <w:t>2 Les actes budgétaires</w:t>
      </w:r>
      <w:bookmarkEnd w:id="11"/>
      <w:bookmarkEnd w:id="12"/>
      <w:bookmarkEnd w:id="13"/>
      <w:bookmarkEnd w:id="14"/>
      <w:bookmarkEnd w:id="15"/>
    </w:p>
    <w:p w:rsidR="00820E12" w:rsidRDefault="00C168AD" w:rsidP="00846C9E">
      <w:r>
        <w:t>Le budget annuel d</w:t>
      </w:r>
      <w:r w:rsidR="00EE1645">
        <w:t>’une collectivité est constitué d’</w:t>
      </w:r>
      <w:r w:rsidR="00A61F45">
        <w:t xml:space="preserve">actes </w:t>
      </w:r>
      <w:r w:rsidR="00EE1645">
        <w:t>qui s’appuient sur des</w:t>
      </w:r>
      <w:r>
        <w:t xml:space="preserve"> </w:t>
      </w:r>
      <w:r w:rsidR="00EE2DB4">
        <w:t>documents</w:t>
      </w:r>
      <w:r>
        <w:t xml:space="preserve"> budgétaires</w:t>
      </w:r>
      <w:r w:rsidR="00EE1645">
        <w:t xml:space="preserve"> (maquettes et rapports)</w:t>
      </w:r>
      <w:r>
        <w:t>.</w:t>
      </w:r>
    </w:p>
    <w:p w:rsidR="00C168AD" w:rsidRDefault="00C168AD" w:rsidP="00846C9E">
      <w:r>
        <w:t xml:space="preserve">Le </w:t>
      </w:r>
      <w:r w:rsidRPr="00AA4FAB">
        <w:rPr>
          <w:b/>
        </w:rPr>
        <w:t>budget</w:t>
      </w:r>
      <w:r>
        <w:t xml:space="preserve"> est dit </w:t>
      </w:r>
      <w:r w:rsidRPr="00AA4FAB">
        <w:rPr>
          <w:b/>
        </w:rPr>
        <w:t>primitif</w:t>
      </w:r>
      <w:r>
        <w:t xml:space="preserve"> (BP) dans la mesure où il peut connaître des ajustements tout au long de l’exercice. En effet, il peut être modifié par un budget supplémentaire et des décisions </w:t>
      </w:r>
      <w:r w:rsidR="008A0269">
        <w:t>modificatives. Il doit être adopté avant le 15 avril</w:t>
      </w:r>
      <w:r w:rsidR="008A0269">
        <w:rPr>
          <w:rStyle w:val="Appelnotedebasdep"/>
        </w:rPr>
        <w:footnoteReference w:id="2"/>
      </w:r>
      <w:r w:rsidR="008A0269">
        <w:t xml:space="preserve"> de l’année à laquelle il se rapporte.</w:t>
      </w:r>
    </w:p>
    <w:p w:rsidR="00C168AD" w:rsidRPr="006F38B2" w:rsidRDefault="00C168AD" w:rsidP="00846C9E">
      <w:pPr>
        <w:rPr>
          <w:i/>
        </w:rPr>
      </w:pPr>
      <w:r w:rsidRPr="00C168AD">
        <w:t xml:space="preserve">Le </w:t>
      </w:r>
      <w:r w:rsidRPr="00C168AD">
        <w:rPr>
          <w:b/>
        </w:rPr>
        <w:t>budget</w:t>
      </w:r>
      <w:r w:rsidRPr="00C168AD">
        <w:t xml:space="preserve"> </w:t>
      </w:r>
      <w:r w:rsidRPr="00C168AD">
        <w:rPr>
          <w:b/>
        </w:rPr>
        <w:t>supplémentaire</w:t>
      </w:r>
      <w:r w:rsidRPr="00C168AD">
        <w:t xml:space="preserve"> (BS), est l’acte d’ajustement et de report permettant à l’entité de retranscrire les résultats cumulés de l’année précédente (excédents, déficits...) dégagés par le compte administratif</w:t>
      </w:r>
      <w:r w:rsidR="008A0269">
        <w:t>.</w:t>
      </w:r>
      <w:r w:rsidR="008A0269" w:rsidRPr="008A0269">
        <w:t xml:space="preserve"> </w:t>
      </w:r>
      <w:r w:rsidR="008A0269">
        <w:t>I</w:t>
      </w:r>
      <w:r w:rsidR="008A0269" w:rsidRPr="008A0269">
        <w:t>l n’est pas procédé au vote de budget supplémentaire à Sotteville-lès-Rouen car le compte administratif est voté en même temps que le budget primitif</w:t>
      </w:r>
      <w:r w:rsidR="00006F5B">
        <w:t> :</w:t>
      </w:r>
      <w:r w:rsidR="008A0269" w:rsidRPr="008A0269">
        <w:t xml:space="preserve"> </w:t>
      </w:r>
      <w:r w:rsidR="00006F5B">
        <w:t>l</w:t>
      </w:r>
      <w:r w:rsidR="008A0269" w:rsidRPr="008A0269">
        <w:t>es résultats du compte administratif sont ainsi repris dès le budget primitif</w:t>
      </w:r>
      <w:r w:rsidRPr="00C168AD">
        <w:t>.</w:t>
      </w:r>
      <w:r>
        <w:rPr>
          <w:rStyle w:val="Appelnotedebasdep"/>
        </w:rPr>
        <w:footnoteReference w:id="3"/>
      </w:r>
      <w:r w:rsidRPr="00C168AD">
        <w:t xml:space="preserve"> </w:t>
      </w:r>
    </w:p>
    <w:p w:rsidR="00C168AD" w:rsidRDefault="00C168AD" w:rsidP="00846C9E">
      <w:r>
        <w:t xml:space="preserve">Les </w:t>
      </w:r>
      <w:r w:rsidRPr="00AA4FAB">
        <w:rPr>
          <w:b/>
        </w:rPr>
        <w:t>décisions modificatives</w:t>
      </w:r>
      <w:r>
        <w:t xml:space="preserve"> (DM) correspondent à la modification des prévisions inscrites au budget primitif. Elles peuvent être adoptées à tout moment, après le vote du budget primitif.</w:t>
      </w:r>
    </w:p>
    <w:p w:rsidR="006C5D65" w:rsidRDefault="006C5D65" w:rsidP="00846C9E">
      <w:r>
        <w:t xml:space="preserve">Le </w:t>
      </w:r>
      <w:r w:rsidRPr="006C5D65">
        <w:rPr>
          <w:b/>
        </w:rPr>
        <w:t>compte financier unique</w:t>
      </w:r>
      <w:r>
        <w:t xml:space="preserve"> (CFU) </w:t>
      </w:r>
      <w:r w:rsidR="00BA1884">
        <w:t xml:space="preserve">est le document de synthèse produit conjointement par l’ordonnateur et le comptable public qui présente les résultats de l’exécution du budget, </w:t>
      </w:r>
      <w:r w:rsidR="00BA1884" w:rsidRPr="00BA1884">
        <w:t>la situation patrimoniale de la collectivité (bilan, compte de résultat), ainsi que la comptabilité des deniers et valeurs.</w:t>
      </w:r>
      <w:r w:rsidR="00BA1884">
        <w:t xml:space="preserve"> Il est le produit de la fusion du</w:t>
      </w:r>
      <w:r>
        <w:t xml:space="preserve"> compte administratif et </w:t>
      </w:r>
      <w:r w:rsidR="00BA1884">
        <w:t xml:space="preserve"> du </w:t>
      </w:r>
      <w:r>
        <w:t>compte de gestion</w:t>
      </w:r>
      <w:r w:rsidR="00376EC5">
        <w:t xml:space="preserve">. Il </w:t>
      </w:r>
      <w:r w:rsidR="00BA1884">
        <w:t>est</w:t>
      </w:r>
      <w:r w:rsidR="00376EC5">
        <w:t xml:space="preserve"> généralisé </w:t>
      </w:r>
      <w:r w:rsidR="00BA1884">
        <w:t>à compter</w:t>
      </w:r>
      <w:r w:rsidR="00376EC5">
        <w:t xml:space="preserve"> de l’exercice 2026</w:t>
      </w:r>
      <w:r>
        <w:t>.</w:t>
      </w:r>
    </w:p>
    <w:p w:rsidR="006978A1" w:rsidRDefault="00EE3E01" w:rsidP="00846C9E">
      <w:r>
        <w:t xml:space="preserve">Un </w:t>
      </w:r>
      <w:r w:rsidRPr="00EE3E01">
        <w:rPr>
          <w:b/>
        </w:rPr>
        <w:t>budget provisoire</w:t>
      </w:r>
      <w:r>
        <w:t xml:space="preserve"> est ouvert </w:t>
      </w:r>
      <w:r w:rsidR="00EE2DB4">
        <w:t xml:space="preserve">automatiquement </w:t>
      </w:r>
      <w:r>
        <w:t xml:space="preserve">quand le vote du budget </w:t>
      </w:r>
      <w:r w:rsidR="009C2FF0">
        <w:t xml:space="preserve">primitif </w:t>
      </w:r>
      <w:r>
        <w:t xml:space="preserve">n’a pas eu lieu avant le début de l’exercice. </w:t>
      </w:r>
      <w:r w:rsidR="00924B3D">
        <w:t>Ce budget ne dispose pas d’une maquette présentée</w:t>
      </w:r>
      <w:r w:rsidR="00EE2DB4">
        <w:t xml:space="preserve"> </w:t>
      </w:r>
      <w:r w:rsidR="00924B3D">
        <w:t>en</w:t>
      </w:r>
      <w:r w:rsidR="00EE2DB4">
        <w:t xml:space="preserve"> conseil municipal. </w:t>
      </w:r>
      <w:r>
        <w:t>Il est remplacé par le budget primitif à l’issu du vote de ce dernier.</w:t>
      </w:r>
      <w:r w:rsidR="0059605B">
        <w:t xml:space="preserve"> </w:t>
      </w:r>
      <w:r w:rsidR="00924B3D">
        <w:t>Le budget provisoire</w:t>
      </w:r>
      <w:r w:rsidR="0059605B">
        <w:t xml:space="preserve"> a vocation à permettre la continuité du service public dans l’attente du vote du budget primitif par l’assemblée délibérante : </w:t>
      </w:r>
    </w:p>
    <w:p w:rsidR="006978A1" w:rsidRDefault="0059605B" w:rsidP="000F25F6">
      <w:pPr>
        <w:pStyle w:val="Paragraphedeliste"/>
        <w:numPr>
          <w:ilvl w:val="0"/>
          <w:numId w:val="37"/>
        </w:numPr>
      </w:pPr>
      <w:r>
        <w:t xml:space="preserve">s’agissant des crédits de fonctionnement et des </w:t>
      </w:r>
      <w:r w:rsidR="006978A1">
        <w:t>remboursements</w:t>
      </w:r>
      <w:r>
        <w:t xml:space="preserve"> de la dette, les crédits inscrits durant l’exercice précédent sont reconduits </w:t>
      </w:r>
      <w:r w:rsidR="00924B3D">
        <w:t xml:space="preserve">automatiquement </w:t>
      </w:r>
      <w:r>
        <w:t xml:space="preserve">jusqu’au vote du budget primitif ; </w:t>
      </w:r>
    </w:p>
    <w:p w:rsidR="0059605B" w:rsidRDefault="0059605B" w:rsidP="000F25F6">
      <w:pPr>
        <w:pStyle w:val="Paragraphedeliste"/>
        <w:numPr>
          <w:ilvl w:val="0"/>
          <w:numId w:val="37"/>
        </w:numPr>
      </w:pPr>
      <w:r>
        <w:t xml:space="preserve">s’agissant des dépenses d’équipement, une délibération spécifique permet au conseil municipal d’autoriser </w:t>
      </w:r>
      <w:r w:rsidR="006978A1">
        <w:t xml:space="preserve">l’ouverture de crédits afin que </w:t>
      </w:r>
      <w:r>
        <w:t>l’exécut</w:t>
      </w:r>
      <w:r w:rsidR="006978A1">
        <w:t>i</w:t>
      </w:r>
      <w:r>
        <w:t xml:space="preserve">f local </w:t>
      </w:r>
      <w:r w:rsidR="006978A1">
        <w:t>puisse continuer à conduire les opérations.</w:t>
      </w:r>
      <w:r>
        <w:t xml:space="preserve"> </w:t>
      </w:r>
      <w:r w:rsidR="006978A1">
        <w:t>Dans ce cadre, les autorisations de programme disposent de règles spécifiques.</w:t>
      </w:r>
      <w:r>
        <w:br w:type="page"/>
      </w:r>
    </w:p>
    <w:p w:rsidR="00EE3E01" w:rsidRDefault="00967A1F" w:rsidP="0074583B">
      <w:pPr>
        <w:pStyle w:val="Titre1"/>
      </w:pPr>
      <w:bookmarkStart w:id="16" w:name="_Toc144372009"/>
      <w:bookmarkStart w:id="17" w:name="_Toc144807521"/>
      <w:bookmarkStart w:id="18" w:name="_Toc144807768"/>
      <w:bookmarkStart w:id="19" w:name="_Toc144807863"/>
      <w:bookmarkStart w:id="20" w:name="_Toc225785276"/>
      <w:r>
        <w:lastRenderedPageBreak/>
        <w:t>0</w:t>
      </w:r>
      <w:r w:rsidR="0059605B">
        <w:t>3 C</w:t>
      </w:r>
      <w:r w:rsidR="007F43A8">
        <w:t>ontraintes calendaires et cycle budgétaire à Sotteville-lès-Rouen</w:t>
      </w:r>
      <w:bookmarkEnd w:id="16"/>
      <w:bookmarkEnd w:id="17"/>
      <w:bookmarkEnd w:id="18"/>
      <w:bookmarkEnd w:id="19"/>
      <w:bookmarkEnd w:id="20"/>
    </w:p>
    <w:p w:rsidR="007F43A8" w:rsidRDefault="007F43A8" w:rsidP="00846C9E">
      <w:r>
        <w:t xml:space="preserve">La réglementation en vigueur prévoit quatre </w:t>
      </w:r>
      <w:r w:rsidR="001859EC">
        <w:t>contraintes calendaires prises en charge dans le cycle budgétaire sottevillais :</w:t>
      </w:r>
    </w:p>
    <w:p w:rsidR="001859EC" w:rsidRDefault="001859EC" w:rsidP="000F25F6">
      <w:pPr>
        <w:pStyle w:val="Paragraphedeliste"/>
        <w:numPr>
          <w:ilvl w:val="0"/>
          <w:numId w:val="38"/>
        </w:numPr>
      </w:pPr>
      <w:r>
        <w:t xml:space="preserve">la tenue d’un débat d’orientation budgétaire </w:t>
      </w:r>
      <w:r w:rsidR="0003688B">
        <w:t xml:space="preserve">(DOB) </w:t>
      </w:r>
      <w:r>
        <w:t>dans les deux mois précédant le vote du budget ;</w:t>
      </w:r>
      <w:r w:rsidR="00006F5B">
        <w:t xml:space="preserve"> </w:t>
      </w:r>
    </w:p>
    <w:p w:rsidR="001859EC" w:rsidRDefault="001859EC" w:rsidP="000F25F6">
      <w:pPr>
        <w:pStyle w:val="Paragraphedeliste"/>
        <w:numPr>
          <w:ilvl w:val="0"/>
          <w:numId w:val="38"/>
        </w:numPr>
      </w:pPr>
      <w:r>
        <w:t>le vote du budget primitif avant le 15</w:t>
      </w:r>
      <w:r w:rsidR="00006F5B">
        <w:t xml:space="preserve"> avril</w:t>
      </w:r>
      <w:r w:rsidR="00006F5B">
        <w:rPr>
          <w:rStyle w:val="Appelnotedebasdep"/>
        </w:rPr>
        <w:footnoteReference w:id="4"/>
      </w:r>
      <w:r>
        <w:t xml:space="preserve"> N ;</w:t>
      </w:r>
    </w:p>
    <w:p w:rsidR="001859EC" w:rsidRDefault="001859EC" w:rsidP="000F25F6">
      <w:pPr>
        <w:pStyle w:val="Paragraphedeliste"/>
        <w:numPr>
          <w:ilvl w:val="0"/>
          <w:numId w:val="38"/>
        </w:numPr>
      </w:pPr>
      <w:r>
        <w:t>le vote du compte administratif</w:t>
      </w:r>
      <w:r w:rsidR="00EE1645">
        <w:t xml:space="preserve"> N-1</w:t>
      </w:r>
      <w:r>
        <w:t xml:space="preserve"> avant le 30 juin N ;</w:t>
      </w:r>
    </w:p>
    <w:p w:rsidR="001859EC" w:rsidRDefault="001859EC" w:rsidP="000F25F6">
      <w:pPr>
        <w:pStyle w:val="Paragraphedeliste"/>
        <w:numPr>
          <w:ilvl w:val="0"/>
          <w:numId w:val="38"/>
        </w:numPr>
      </w:pPr>
      <w:r>
        <w:t xml:space="preserve">pour les collectivités votant le budget primitif après le 31 décembre N-1, la prise d’une délibération pour ouvrir des crédits d’investissement </w:t>
      </w:r>
      <w:r w:rsidR="009C2FF0">
        <w:t xml:space="preserve">pour financer les dépenses d’équipement </w:t>
      </w:r>
      <w:r>
        <w:t>dans le cadre du budget provisoire (les crédits de fonctionnement étant ouverts automatiquement sur la base des crédits votés en N-1</w:t>
      </w:r>
      <w:r w:rsidR="009C2FF0">
        <w:t>, tout comme ceux nécessaires au remboursement des annuités de dette</w:t>
      </w:r>
      <w:r>
        <w:t>)</w:t>
      </w:r>
      <w:r w:rsidR="0064005C">
        <w:t>.</w:t>
      </w:r>
    </w:p>
    <w:p w:rsidR="0059605B" w:rsidRDefault="002F3D6F" w:rsidP="00846C9E">
      <w:r w:rsidRPr="00376EC5">
        <w:rPr>
          <w:u w:val="single"/>
        </w:rPr>
        <w:t>A Sotteville-lès-Rouen, il est fait le choix de voter le budget après le vote du compte administratif, ce qui permet d’intégrer au budget primitif les résultats de l’exercice précédent</w:t>
      </w:r>
      <w:r>
        <w:rPr>
          <w:rStyle w:val="Appelnotedebasdep"/>
        </w:rPr>
        <w:footnoteReference w:id="5"/>
      </w:r>
      <w:r>
        <w:t>. Ce faisant, il n’est pas nécessaire de procéder au vote d’un budget supplémentaire. En revanche, il est nécessaire de délibérer en décembre pour ouvrir des crédits d’investissement durant la période du budget provisoire.</w:t>
      </w:r>
    </w:p>
    <w:bookmarkStart w:id="21" w:name="_MON_1749038513"/>
    <w:bookmarkEnd w:id="21"/>
    <w:p w:rsidR="007F43A8" w:rsidRDefault="00376EC5" w:rsidP="00846C9E">
      <w:r>
        <w:object w:dxaOrig="9872" w:dyaOrig="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3pt;height:211.8pt" o:ole="">
            <v:imagedata r:id="rId9" o:title=""/>
          </v:shape>
          <o:OLEObject Type="Embed" ProgID="Excel.Sheet.12" ShapeID="_x0000_i1025" DrawAspect="Content" ObjectID="_1836398019" r:id="rId10"/>
        </w:object>
      </w:r>
    </w:p>
    <w:p w:rsidR="0059605B" w:rsidRDefault="0059605B" w:rsidP="00846C9E">
      <w:r>
        <w:br w:type="page"/>
      </w:r>
    </w:p>
    <w:p w:rsidR="00077C4F" w:rsidRDefault="00967A1F" w:rsidP="0074583B">
      <w:pPr>
        <w:pStyle w:val="Titre1"/>
      </w:pPr>
      <w:bookmarkStart w:id="22" w:name="_Toc144372010"/>
      <w:bookmarkStart w:id="23" w:name="_Toc144807522"/>
      <w:bookmarkStart w:id="24" w:name="_Toc144807769"/>
      <w:bookmarkStart w:id="25" w:name="_Toc144807864"/>
      <w:bookmarkStart w:id="26" w:name="_Toc225785277"/>
      <w:r>
        <w:lastRenderedPageBreak/>
        <w:t>0</w:t>
      </w:r>
      <w:r w:rsidR="00077C4F">
        <w:t>4 Les orientations budgétaires</w:t>
      </w:r>
      <w:bookmarkEnd w:id="22"/>
      <w:bookmarkEnd w:id="23"/>
      <w:bookmarkEnd w:id="24"/>
      <w:bookmarkEnd w:id="25"/>
      <w:bookmarkEnd w:id="26"/>
    </w:p>
    <w:p w:rsidR="00077C4F" w:rsidRDefault="00077C4F" w:rsidP="00846C9E">
      <w:r>
        <w:t>L’examen du budget est précédé d’un débat de l’assemblée délibérante sur les orientations budgétaires dans les deux mois qui précèdent le vote du budget. Le débat se déroule dans les conditions fixées par le règlement intérieur du conseil municipal. Il est pris acte de ce débat par une délibération spécifique.</w:t>
      </w:r>
    </w:p>
    <w:p w:rsidR="00077C4F" w:rsidRDefault="00077C4F" w:rsidP="00846C9E">
      <w:r>
        <w:t>Le débat d’orientation budgétaire doit s’effectuer sur la base d’un rapport sur les orientations budgétaires, les engagements pluriannuels envisagés, la structure et la gestion de la dette ainsi qu’une présentation de la structure et de l'évolution des effectifs. Il fait l'objet d'une publication.</w:t>
      </w:r>
    </w:p>
    <w:p w:rsidR="00077C4F" w:rsidRDefault="00077C4F" w:rsidP="00846C9E">
      <w:r>
        <w:t>Le rapport comporte :</w:t>
      </w:r>
    </w:p>
    <w:p w:rsidR="00077C4F" w:rsidRDefault="00077C4F" w:rsidP="000F25F6">
      <w:pPr>
        <w:pStyle w:val="Paragraphedeliste"/>
        <w:numPr>
          <w:ilvl w:val="0"/>
          <w:numId w:val="39"/>
        </w:numPr>
      </w:pPr>
      <w:r>
        <w:t>les orientations budgétaires envisagées portant sur les évolutions prévisionnelles des dépenses et des recettes, en fonctionnement comme en investissement ;</w:t>
      </w:r>
    </w:p>
    <w:p w:rsidR="00077C4F" w:rsidRDefault="00077C4F" w:rsidP="000F25F6">
      <w:pPr>
        <w:pStyle w:val="Paragraphedeliste"/>
        <w:numPr>
          <w:ilvl w:val="0"/>
          <w:numId w:val="39"/>
        </w:numPr>
      </w:pPr>
      <w:r>
        <w:t>les hypothèses d’évolution retenues pour construire le projet de budget en matière de concours financiers, de fiscalité, de tarification, de subventions ;</w:t>
      </w:r>
    </w:p>
    <w:p w:rsidR="00077C4F" w:rsidRDefault="00077C4F" w:rsidP="000F25F6">
      <w:pPr>
        <w:pStyle w:val="Paragraphedeliste"/>
        <w:numPr>
          <w:ilvl w:val="0"/>
          <w:numId w:val="39"/>
        </w:numPr>
      </w:pPr>
      <w:r>
        <w:t>les principales évolutions relatives aux relations financières entre la commune et l’établissement public de coopération intercommunale à fiscalité propre ;</w:t>
      </w:r>
    </w:p>
    <w:p w:rsidR="00077C4F" w:rsidRDefault="00077C4F" w:rsidP="000F25F6">
      <w:pPr>
        <w:pStyle w:val="Paragraphedeliste"/>
        <w:numPr>
          <w:ilvl w:val="0"/>
          <w:numId w:val="39"/>
        </w:numPr>
      </w:pPr>
      <w:r>
        <w:t>la présentation des engagements pluriannuels, notamment les orientations envisagées en matière de programmation d’investissement comportant une prévision des dépenses et recettes, le cas échéant, les orientations en matière d’autorisations de programme ;</w:t>
      </w:r>
    </w:p>
    <w:p w:rsidR="00077C4F" w:rsidRDefault="00077C4F" w:rsidP="000F25F6">
      <w:pPr>
        <w:pStyle w:val="Paragraphedeliste"/>
        <w:numPr>
          <w:ilvl w:val="0"/>
          <w:numId w:val="39"/>
        </w:numPr>
      </w:pPr>
      <w:r>
        <w:t>les informations relatives à la structure et la gestion de l’encours de la dette contractée et les perspectives pour le projet de budget. Elles présentent notamment le profil de l’encours de la dette que vise la collectivité pour la fin de l’exercice auquel se rapporte le projet de budget ;</w:t>
      </w:r>
    </w:p>
    <w:p w:rsidR="00077C4F" w:rsidRDefault="00077C4F" w:rsidP="000F25F6">
      <w:pPr>
        <w:pStyle w:val="Paragraphedeliste"/>
        <w:numPr>
          <w:ilvl w:val="0"/>
          <w:numId w:val="39"/>
        </w:numPr>
      </w:pPr>
      <w:r>
        <w:t>les points précédents devront permettre d'évaluer l'évolution prévisionnelle du niveau d'épargne brute, d'épargne nette et de l'endettement à la fin de l'exercice auquel se rapporte le projet de budget ;</w:t>
      </w:r>
    </w:p>
    <w:p w:rsidR="00077C4F" w:rsidRDefault="00077C4F" w:rsidP="000F25F6">
      <w:pPr>
        <w:pStyle w:val="Paragraphedeliste"/>
        <w:numPr>
          <w:ilvl w:val="0"/>
          <w:numId w:val="39"/>
        </w:numPr>
      </w:pPr>
      <w:r>
        <w:t xml:space="preserve">les éléments suivants relatifs aux effectifs au titre de l'exercice en cours, ou, le cas échéant, du dernier exercice connu : </w:t>
      </w:r>
    </w:p>
    <w:p w:rsidR="00077C4F" w:rsidRDefault="00077C4F" w:rsidP="000F25F6">
      <w:pPr>
        <w:pStyle w:val="Paragraphedeliste"/>
        <w:numPr>
          <w:ilvl w:val="1"/>
          <w:numId w:val="40"/>
        </w:numPr>
      </w:pPr>
      <w:r>
        <w:t xml:space="preserve">la structure des effectifs ; </w:t>
      </w:r>
    </w:p>
    <w:p w:rsidR="00077C4F" w:rsidRDefault="00077C4F" w:rsidP="000F25F6">
      <w:pPr>
        <w:pStyle w:val="Paragraphedeliste"/>
        <w:numPr>
          <w:ilvl w:val="1"/>
          <w:numId w:val="40"/>
        </w:numPr>
      </w:pPr>
      <w:r>
        <w:t>les dépenses de personnel comportant notamment des éléments sur la rémunération tels que les traitements indiciaires, les régimes indemnitaires, les nouvelles bonifications indiciaires, les heures supplémentaires rémunérées</w:t>
      </w:r>
      <w:r w:rsidR="00FC59CD">
        <w:t> ;</w:t>
      </w:r>
      <w:r>
        <w:t xml:space="preserve"> </w:t>
      </w:r>
    </w:p>
    <w:p w:rsidR="00077C4F" w:rsidRDefault="00077C4F" w:rsidP="000F25F6">
      <w:pPr>
        <w:pStyle w:val="Paragraphedeliste"/>
        <w:numPr>
          <w:ilvl w:val="1"/>
          <w:numId w:val="40"/>
        </w:numPr>
      </w:pPr>
      <w:r>
        <w:t xml:space="preserve">la durée effective du travail dans la commune ; </w:t>
      </w:r>
    </w:p>
    <w:p w:rsidR="00077C4F" w:rsidRDefault="00077C4F" w:rsidP="000F25F6">
      <w:pPr>
        <w:pStyle w:val="Paragraphedeliste"/>
        <w:numPr>
          <w:ilvl w:val="1"/>
          <w:numId w:val="40"/>
        </w:numPr>
      </w:pPr>
      <w:r>
        <w:t>l'évolution prévisionnelle de la structure des effectifs et des dépenses de personnel pour l'exercice auquel se rapporte le projet de budget, voire le détail de la démarche de gestion prévisionnelle des ressources humaines de la commune.</w:t>
      </w:r>
      <w:r>
        <w:br w:type="page"/>
      </w:r>
    </w:p>
    <w:p w:rsidR="006978A1" w:rsidRDefault="00967A1F" w:rsidP="0074583B">
      <w:pPr>
        <w:pStyle w:val="Titre1"/>
      </w:pPr>
      <w:bookmarkStart w:id="27" w:name="_Toc144372011"/>
      <w:bookmarkStart w:id="28" w:name="_Toc144807523"/>
      <w:bookmarkStart w:id="29" w:name="_Toc144807770"/>
      <w:bookmarkStart w:id="30" w:name="_Toc144807865"/>
      <w:bookmarkStart w:id="31" w:name="_Toc225785278"/>
      <w:r>
        <w:lastRenderedPageBreak/>
        <w:t>0</w:t>
      </w:r>
      <w:r w:rsidR="00077C4F">
        <w:t>5</w:t>
      </w:r>
      <w:r w:rsidR="006978A1">
        <w:t xml:space="preserve"> Les règles de l’équilibre budgétaire</w:t>
      </w:r>
      <w:bookmarkEnd w:id="27"/>
      <w:bookmarkEnd w:id="28"/>
      <w:bookmarkEnd w:id="29"/>
      <w:bookmarkEnd w:id="30"/>
      <w:bookmarkEnd w:id="31"/>
    </w:p>
    <w:p w:rsidR="00AE3B25" w:rsidRDefault="00AE3B25" w:rsidP="00846C9E">
      <w:r w:rsidRPr="00AE3B25">
        <w:t>Le budget de la collectivité territoriale est en équilibre réel lorsque</w:t>
      </w:r>
      <w:r>
        <w:t> :</w:t>
      </w:r>
    </w:p>
    <w:p w:rsidR="00AE3B25" w:rsidRDefault="00AE3B25" w:rsidP="000F25F6">
      <w:pPr>
        <w:pStyle w:val="Paragraphedeliste"/>
        <w:numPr>
          <w:ilvl w:val="0"/>
          <w:numId w:val="41"/>
        </w:numPr>
      </w:pPr>
      <w:r w:rsidRPr="00AE3B25">
        <w:t xml:space="preserve">la section de fonctionnement et la section d'investissement sont respectivement votées en équilibre,  </w:t>
      </w:r>
    </w:p>
    <w:p w:rsidR="006978A1" w:rsidRDefault="00AE3B25" w:rsidP="000F25F6">
      <w:pPr>
        <w:pStyle w:val="Paragraphedeliste"/>
        <w:numPr>
          <w:ilvl w:val="0"/>
          <w:numId w:val="41"/>
        </w:numPr>
      </w:pPr>
      <w:r w:rsidRPr="00AE3B25">
        <w:t>et lorsque le remboursement en capital des annuités d'emprunt à échoir au cours de l'exercice</w:t>
      </w:r>
      <w:r w:rsidR="00EE2DB4">
        <w:t xml:space="preserve"> est couvert par les ressources propres de la collectivité (part </w:t>
      </w:r>
      <w:r w:rsidR="00681D3B">
        <w:t xml:space="preserve">nette </w:t>
      </w:r>
      <w:r w:rsidR="00EE2DB4">
        <w:t>de la section de fonctionnement virée</w:t>
      </w:r>
      <w:r w:rsidR="00681D3B">
        <w:t xml:space="preserve"> à la section d’investissement additionnée aux </w:t>
      </w:r>
      <w:r w:rsidR="00EE2DB4">
        <w:t>ressources propres d’investissement comme le FCTVA ou les excédents capitalisés)</w:t>
      </w:r>
      <w:r w:rsidR="00EE2DB4">
        <w:rPr>
          <w:rStyle w:val="Appelnotedebasdep"/>
        </w:rPr>
        <w:footnoteReference w:id="6"/>
      </w:r>
      <w:r w:rsidR="00EE2DB4">
        <w:t xml:space="preserve"> </w:t>
      </w:r>
      <w:r w:rsidRPr="00AE3B25">
        <w:t>.</w:t>
      </w:r>
    </w:p>
    <w:p w:rsidR="006978A1" w:rsidRDefault="0028792F" w:rsidP="00706D92">
      <w:pPr>
        <w:jc w:val="center"/>
      </w:pPr>
      <w:r>
        <w:object w:dxaOrig="7214" w:dyaOrig="5406">
          <v:shape id="_x0000_i1026" type="#_x0000_t75" style="width:360.85pt;height:271.25pt" o:ole="">
            <v:imagedata r:id="rId11" o:title=""/>
          </v:shape>
          <o:OLEObject Type="Embed" ProgID="PowerPoint.Slide.12" ShapeID="_x0000_i1026" DrawAspect="Content" ObjectID="_1836398020" r:id="rId12"/>
        </w:object>
      </w:r>
    </w:p>
    <w:p w:rsidR="00706D92" w:rsidRDefault="00FC59CD" w:rsidP="00846C9E">
      <w:r>
        <w:t>Pour rappel, ces règles, obligatoires pour les collectivités territoriales, ne s’appliquent pas à l’Etat</w:t>
      </w:r>
      <w:r w:rsidR="009B607F">
        <w:t> ;</w:t>
      </w:r>
      <w:r>
        <w:t xml:space="preserve"> </w:t>
      </w:r>
      <w:r w:rsidR="009B607F">
        <w:t>l’Etat</w:t>
      </w:r>
      <w:r>
        <w:t xml:space="preserve"> peut voter son budget en déséquilibre.</w:t>
      </w:r>
    </w:p>
    <w:p w:rsidR="00FC59CD" w:rsidRDefault="00FC59CD" w:rsidP="00846C9E"/>
    <w:p w:rsidR="00FC59CD" w:rsidRDefault="00FC59CD" w:rsidP="00846C9E"/>
    <w:p w:rsidR="00FC59CD" w:rsidRDefault="00FC59CD" w:rsidP="00846C9E"/>
    <w:p w:rsidR="00FC59CD" w:rsidRDefault="00FC59CD" w:rsidP="00846C9E"/>
    <w:p w:rsidR="006978A1" w:rsidRDefault="006978A1" w:rsidP="00706D92">
      <w:pPr>
        <w:jc w:val="left"/>
      </w:pPr>
      <w:r>
        <w:br w:type="page"/>
      </w:r>
    </w:p>
    <w:p w:rsidR="00C97DE7" w:rsidRDefault="00967A1F" w:rsidP="0074583B">
      <w:pPr>
        <w:pStyle w:val="Titre1"/>
      </w:pPr>
      <w:bookmarkStart w:id="32" w:name="_Toc144372012"/>
      <w:bookmarkStart w:id="33" w:name="_Toc144807524"/>
      <w:bookmarkStart w:id="34" w:name="_Toc144807771"/>
      <w:bookmarkStart w:id="35" w:name="_Toc144807866"/>
      <w:bookmarkStart w:id="36" w:name="_Toc225785279"/>
      <w:r>
        <w:lastRenderedPageBreak/>
        <w:t>0</w:t>
      </w:r>
      <w:r w:rsidR="00077C4F">
        <w:t>6</w:t>
      </w:r>
      <w:r w:rsidR="006978A1">
        <w:t xml:space="preserve"> </w:t>
      </w:r>
      <w:r w:rsidR="00C97DE7">
        <w:t>Modalités de vote du budget</w:t>
      </w:r>
      <w:bookmarkEnd w:id="32"/>
      <w:bookmarkEnd w:id="33"/>
      <w:bookmarkEnd w:id="34"/>
      <w:bookmarkEnd w:id="35"/>
      <w:bookmarkEnd w:id="36"/>
    </w:p>
    <w:p w:rsidR="00C97DE7" w:rsidRDefault="00C97DE7" w:rsidP="001A393E">
      <w:pPr>
        <w:pStyle w:val="Titre2"/>
      </w:pPr>
      <w:bookmarkStart w:id="37" w:name="_Toc144807867"/>
      <w:bookmarkStart w:id="38" w:name="_Toc225785280"/>
      <w:r>
        <w:t>Nature et fonction</w:t>
      </w:r>
      <w:bookmarkEnd w:id="37"/>
      <w:bookmarkEnd w:id="38"/>
    </w:p>
    <w:p w:rsidR="00C97DE7" w:rsidRDefault="00C97DE7" w:rsidP="00846C9E">
      <w:r>
        <w:t>Sotteville-lès-Rouen étant une ville de plus de 10 000 habitants, son budget doit être</w:t>
      </w:r>
      <w:r w:rsidRPr="00905596">
        <w:t xml:space="preserve"> voté soit par nature, soit par fonction</w:t>
      </w:r>
      <w:r>
        <w:rPr>
          <w:rStyle w:val="Appelnotedebasdep"/>
        </w:rPr>
        <w:footnoteReference w:id="7"/>
      </w:r>
      <w:r w:rsidRPr="00905596">
        <w:t xml:space="preserve">. </w:t>
      </w:r>
      <w:r w:rsidR="00D67961" w:rsidRPr="00D67961">
        <w:rPr>
          <w:u w:val="single"/>
        </w:rPr>
        <w:t xml:space="preserve">A Sotteville-lès-Rouen, </w:t>
      </w:r>
      <w:r w:rsidR="00D135F5">
        <w:rPr>
          <w:u w:val="single"/>
        </w:rPr>
        <w:t>le budget est</w:t>
      </w:r>
      <w:r w:rsidR="00D67961" w:rsidRPr="00D67961">
        <w:rPr>
          <w:u w:val="single"/>
        </w:rPr>
        <w:t xml:space="preserve"> vot</w:t>
      </w:r>
      <w:r w:rsidR="00D135F5">
        <w:rPr>
          <w:u w:val="single"/>
        </w:rPr>
        <w:t>é</w:t>
      </w:r>
      <w:r w:rsidR="00D67961" w:rsidRPr="00D67961">
        <w:rPr>
          <w:u w:val="single"/>
        </w:rPr>
        <w:t xml:space="preserve"> par nature</w:t>
      </w:r>
      <w:r w:rsidR="00D67961">
        <w:t xml:space="preserve">, </w:t>
      </w:r>
      <w:r w:rsidR="00A51ED1">
        <w:t>néanmoins</w:t>
      </w:r>
      <w:r w:rsidRPr="00905596">
        <w:t>, il comporte une présentation fonctionnelle</w:t>
      </w:r>
      <w:r w:rsidR="00B00360">
        <w:rPr>
          <w:rStyle w:val="Appelnotedebasdep"/>
        </w:rPr>
        <w:footnoteReference w:id="8"/>
      </w:r>
      <w:r>
        <w:t>.</w:t>
      </w:r>
    </w:p>
    <w:p w:rsidR="00C97DE7" w:rsidRDefault="00C97DE7" w:rsidP="001A393E">
      <w:pPr>
        <w:pStyle w:val="Titre2"/>
      </w:pPr>
      <w:bookmarkStart w:id="39" w:name="_Toc144807868"/>
      <w:bookmarkStart w:id="40" w:name="_Toc225785281"/>
      <w:r>
        <w:t>Vote au niveau du chapitre</w:t>
      </w:r>
      <w:bookmarkEnd w:id="39"/>
      <w:bookmarkEnd w:id="40"/>
    </w:p>
    <w:p w:rsidR="00C97DE7" w:rsidRDefault="00C97DE7" w:rsidP="00846C9E">
      <w:r>
        <w:t xml:space="preserve">Le budget est divisé en chapitre et en article défini par la nomenclature comptable et budgétaire. En vertu du principe de spécialité, les crédits sont par défaut votés par chapitre ; le conseil municipal peut faire le choix de voter par article. </w:t>
      </w:r>
    </w:p>
    <w:p w:rsidR="00C97DE7" w:rsidRPr="00D135F5" w:rsidRDefault="00C97DE7" w:rsidP="00846C9E">
      <w:pPr>
        <w:rPr>
          <w:u w:val="single"/>
        </w:rPr>
      </w:pPr>
      <w:r w:rsidRPr="00D135F5">
        <w:rPr>
          <w:u w:val="single"/>
        </w:rPr>
        <w:t xml:space="preserve">A Sotteville-lès-Rouen, le vote a lieu par chapitre, sans vote formel sur chacun des chapitres. </w:t>
      </w:r>
    </w:p>
    <w:p w:rsidR="00C97DE7" w:rsidRDefault="00C97DE7" w:rsidP="00846C9E">
      <w:r>
        <w:t>Quand le vote est effectué au niveau du chapitre, l’exécutif peut engager, liquider et mandater les dépenses dans la limite des crédits inscrits à ce chapitre : il peut donc procéder à des virements de crédits d’article à article au sein du même chapitre. En revanche, une nouvelle délibération de l’assemblée délibérante est nécessaire pour modifier le montant de crédits inscrit à un chapitre. Cette limite ne s’applique qu’aux dépenses.</w:t>
      </w:r>
    </w:p>
    <w:p w:rsidR="000A1F85" w:rsidRDefault="000A1F85" w:rsidP="00846C9E">
      <w:r>
        <w:t xml:space="preserve">Un chapitre budgétaire, dans le cadre d’un vote par nature, est </w:t>
      </w:r>
      <w:r w:rsidR="00A13903">
        <w:t xml:space="preserve">le plus souvent </w:t>
      </w:r>
      <w:r>
        <w:t xml:space="preserve">constitué </w:t>
      </w:r>
      <w:r w:rsidR="00A13903">
        <w:t>par les deux premiers chiffres du compte nature</w:t>
      </w:r>
      <w:r w:rsidR="00A13903">
        <w:rPr>
          <w:rStyle w:val="Appelnotedebasdep"/>
        </w:rPr>
        <w:footnoteReference w:id="9"/>
      </w:r>
      <w:r w:rsidR="00A13903">
        <w:t xml:space="preserve"> (ex : les comptes 7478 et 74111 appartiennent au chapitre 74)</w:t>
      </w:r>
      <w:r w:rsidR="00B00360">
        <w:rPr>
          <w:rStyle w:val="Appelnotedebasdep"/>
        </w:rPr>
        <w:footnoteReference w:id="10"/>
      </w:r>
      <w:r w:rsidR="00A13903">
        <w:t>.</w:t>
      </w:r>
      <w:r w:rsidR="00574F07">
        <w:br/>
      </w:r>
      <w:r w:rsidR="00A13903">
        <w:t>Toutefois, il existe des « chapitres globalisés », tel que le 011 « </w:t>
      </w:r>
      <w:r w:rsidR="0067280D">
        <w:t>c</w:t>
      </w:r>
      <w:r w:rsidR="00A13903">
        <w:t xml:space="preserve">harges </w:t>
      </w:r>
      <w:r w:rsidR="00A51ED1">
        <w:t>à caractère général</w:t>
      </w:r>
      <w:r w:rsidR="00A13903">
        <w:t xml:space="preserve"> », ou le </w:t>
      </w:r>
      <w:r w:rsidR="00615BF6">
        <w:br/>
      </w:r>
      <w:r w:rsidR="00A13903">
        <w:t xml:space="preserve">012 « charges de personnel », qui regroupent des comptes débutant différemment (les comptes </w:t>
      </w:r>
      <w:r w:rsidR="00A13903" w:rsidRPr="00B00360">
        <w:rPr>
          <w:u w:val="single"/>
        </w:rPr>
        <w:t>60</w:t>
      </w:r>
      <w:r w:rsidR="00A13903">
        <w:t xml:space="preserve">611, </w:t>
      </w:r>
      <w:r w:rsidR="00A13903" w:rsidRPr="00B00360">
        <w:rPr>
          <w:u w:val="single"/>
        </w:rPr>
        <w:t>61</w:t>
      </w:r>
      <w:r w:rsidR="00A13903">
        <w:t xml:space="preserve">61, </w:t>
      </w:r>
      <w:r w:rsidR="00A13903" w:rsidRPr="00B00360">
        <w:rPr>
          <w:u w:val="single"/>
        </w:rPr>
        <w:t>62</w:t>
      </w:r>
      <w:r w:rsidR="00A13903">
        <w:t xml:space="preserve">88, </w:t>
      </w:r>
      <w:r w:rsidR="00A13903" w:rsidRPr="00B00360">
        <w:rPr>
          <w:u w:val="single"/>
        </w:rPr>
        <w:t>63</w:t>
      </w:r>
      <w:r w:rsidR="00A13903">
        <w:t>7 appartiennent tous au chapitre 011</w:t>
      </w:r>
      <w:r w:rsidR="0067280D">
        <w:t> ;</w:t>
      </w:r>
      <w:r w:rsidR="00A13903">
        <w:t xml:space="preserve"> les comptes </w:t>
      </w:r>
      <w:r w:rsidR="00A13903" w:rsidRPr="00B00360">
        <w:rPr>
          <w:u w:val="single"/>
        </w:rPr>
        <w:t>62</w:t>
      </w:r>
      <w:r w:rsidR="00A13903">
        <w:t xml:space="preserve">18, </w:t>
      </w:r>
      <w:r w:rsidR="00A13903" w:rsidRPr="00B00360">
        <w:rPr>
          <w:u w:val="single"/>
        </w:rPr>
        <w:t>63</w:t>
      </w:r>
      <w:r w:rsidR="00A13903">
        <w:t xml:space="preserve">33 et </w:t>
      </w:r>
      <w:r w:rsidR="00A13903" w:rsidRPr="00B00360">
        <w:rPr>
          <w:u w:val="single"/>
        </w:rPr>
        <w:t>64</w:t>
      </w:r>
      <w:r w:rsidR="00A13903">
        <w:t>111 au chapitre 012).</w:t>
      </w:r>
      <w:r w:rsidR="000B773C">
        <w:t xml:space="preserve"> </w:t>
      </w:r>
      <w:r w:rsidR="0067280D">
        <w:t>De même</w:t>
      </w:r>
      <w:r w:rsidR="000B773C">
        <w:t xml:space="preserve">, le chapitre </w:t>
      </w:r>
      <w:r w:rsidR="000B773C" w:rsidRPr="000B773C">
        <w:t xml:space="preserve">204 </w:t>
      </w:r>
      <w:r w:rsidR="000B773C">
        <w:t>« </w:t>
      </w:r>
      <w:r w:rsidR="000B773C" w:rsidRPr="000B773C">
        <w:t>subventions d’équipement versées</w:t>
      </w:r>
      <w:r w:rsidR="000B773C">
        <w:t xml:space="preserve"> » est un chapitre à part entière distinct du chapitre </w:t>
      </w:r>
      <w:r w:rsidR="00B00360">
        <w:t xml:space="preserve">budgétaire </w:t>
      </w:r>
      <w:r w:rsidR="000B773C">
        <w:t xml:space="preserve">20 « immobilisations incorporelles ». </w:t>
      </w:r>
    </w:p>
    <w:p w:rsidR="0067280D" w:rsidRDefault="000B773C" w:rsidP="001A393E">
      <w:pPr>
        <w:spacing w:after="0"/>
      </w:pPr>
      <w:r>
        <w:t>Il</w:t>
      </w:r>
      <w:r w:rsidR="00A13903">
        <w:t xml:space="preserve"> existe </w:t>
      </w:r>
      <w:r w:rsidR="0067280D">
        <w:t xml:space="preserve">aussi des chapitres </w:t>
      </w:r>
      <w:r>
        <w:t>sans exécution</w:t>
      </w:r>
      <w:r w:rsidR="0067280D">
        <w:t xml:space="preserve"> q</w:t>
      </w:r>
      <w:r>
        <w:t xml:space="preserve">ui </w:t>
      </w:r>
      <w:r w:rsidR="0067280D">
        <w:t>permettent de faire apparaître certains éléments dans la maquette budgétaire :</w:t>
      </w:r>
    </w:p>
    <w:p w:rsidR="0067280D" w:rsidRDefault="0067280D" w:rsidP="001A393E">
      <w:pPr>
        <w:pStyle w:val="Paragraphedeliste"/>
        <w:numPr>
          <w:ilvl w:val="1"/>
          <w:numId w:val="5"/>
        </w:numPr>
        <w:ind w:left="567" w:hanging="283"/>
      </w:pPr>
      <w:r>
        <w:t xml:space="preserve">par exemple le chapitre 023 en dépense de fonctionnement et son miroir le </w:t>
      </w:r>
      <w:r w:rsidR="00615BF6">
        <w:t xml:space="preserve">chapitre </w:t>
      </w:r>
      <w:r>
        <w:t xml:space="preserve">021 en recette d’investissement permettent </w:t>
      </w:r>
      <w:r w:rsidR="000B773C">
        <w:t>d’équilibrer le budget en faisant apparaître l’excédent prévisionnel de fonctionnement qui financera l’investissement</w:t>
      </w:r>
      <w:r>
        <w:t xml:space="preserve"> ; </w:t>
      </w:r>
    </w:p>
    <w:p w:rsidR="00A13903" w:rsidRDefault="0067280D" w:rsidP="001A393E">
      <w:pPr>
        <w:pStyle w:val="Paragraphedeliste"/>
        <w:numPr>
          <w:ilvl w:val="1"/>
          <w:numId w:val="5"/>
        </w:numPr>
        <w:ind w:left="567" w:hanging="283"/>
      </w:pPr>
      <w:r>
        <w:t>le chapitre 024 « produit des cessions » permet de fair</w:t>
      </w:r>
      <w:r w:rsidR="00574F07">
        <w:t xml:space="preserve">e apparaître budgétairement les prévisions de ces recettes particulières </w:t>
      </w:r>
      <w:r>
        <w:t>en recette d’investissement</w:t>
      </w:r>
      <w:r w:rsidR="00574F07">
        <w:t>,</w:t>
      </w:r>
      <w:r>
        <w:t xml:space="preserve"> alors que </w:t>
      </w:r>
      <w:r w:rsidR="00574F07">
        <w:t xml:space="preserve">l’exécution comptable a lieu </w:t>
      </w:r>
      <w:r w:rsidR="00615BF6">
        <w:t>sur des comptes d</w:t>
      </w:r>
      <w:r w:rsidR="00574F07">
        <w:t>u</w:t>
      </w:r>
      <w:r>
        <w:t xml:space="preserve"> chapitre 77, en recette de fonctionnement</w:t>
      </w:r>
      <w:r w:rsidR="00B00360">
        <w:t> ;</w:t>
      </w:r>
      <w:r>
        <w:t xml:space="preserve"> ce faisant, cela permet de s’assurer que </w:t>
      </w:r>
      <w:r w:rsidR="00B00360">
        <w:t xml:space="preserve">ce ne sont pas les cessions de l’actif qui équilibrent </w:t>
      </w:r>
      <w:r w:rsidR="006C0A86">
        <w:t xml:space="preserve">budgétairement </w:t>
      </w:r>
      <w:r w:rsidR="00B00360">
        <w:t>la section</w:t>
      </w:r>
      <w:r>
        <w:t xml:space="preserve"> de fonctionnement.</w:t>
      </w:r>
      <w:r w:rsidR="00877606">
        <w:br w:type="page"/>
      </w:r>
    </w:p>
    <w:p w:rsidR="00C97DE7" w:rsidRPr="001A393E" w:rsidRDefault="00811534" w:rsidP="001A393E">
      <w:pPr>
        <w:pStyle w:val="Titre2"/>
      </w:pPr>
      <w:bookmarkStart w:id="41" w:name="_Toc144807869"/>
      <w:bookmarkStart w:id="42" w:name="_Toc225785282"/>
      <w:r>
        <w:lastRenderedPageBreak/>
        <w:t>Fongibilité des cr</w:t>
      </w:r>
      <w:r w:rsidR="00D25A10">
        <w:t>é</w:t>
      </w:r>
      <w:r>
        <w:t>dits : les v</w:t>
      </w:r>
      <w:r w:rsidR="00C97DE7" w:rsidRPr="001A393E">
        <w:t>irements de chapitre à chapitre</w:t>
      </w:r>
      <w:bookmarkEnd w:id="41"/>
      <w:r w:rsidR="005403F1">
        <w:rPr>
          <w:rStyle w:val="Appelnotedebasdep"/>
        </w:rPr>
        <w:footnoteReference w:id="11"/>
      </w:r>
      <w:bookmarkEnd w:id="42"/>
    </w:p>
    <w:p w:rsidR="00C97DE7" w:rsidRDefault="0067280D" w:rsidP="00846C9E">
      <w:r>
        <w:t>Si</w:t>
      </w:r>
      <w:r w:rsidR="00C97DE7">
        <w:t xml:space="preserve"> l’assemblée délibérante l’autorise à l’occasion du vote du budget, dans les limites qu’elle fixe, l’exécutif peut procéder à des mouvements de </w:t>
      </w:r>
      <w:r w:rsidR="005403F1">
        <w:t>crédits de chapitre à chapitre, hors dépenses de personnel</w:t>
      </w:r>
      <w:r w:rsidR="00C97DE7">
        <w:t>, au sein de la section d’investissement et de la section de fonctionnement, dans la limite de 7,5% des dépenses réelles de chacune de ces sections</w:t>
      </w:r>
      <w:r w:rsidR="00A61F45">
        <w:rPr>
          <w:rStyle w:val="Appelnotedebasdep"/>
        </w:rPr>
        <w:footnoteReference w:id="12"/>
      </w:r>
      <w:r w:rsidR="00C97DE7">
        <w:t>. Dans ce dernier cas, l’exécutif de l’entité informe l’assemblée délibérante de ces mouvements de crédits lors de sa plus proche séance.</w:t>
      </w:r>
    </w:p>
    <w:p w:rsidR="00C97DE7" w:rsidRDefault="00C97DE7" w:rsidP="00846C9E">
      <w:r>
        <w:t>L’autorisation de procéder à des virements de crédits entre chapitres est accordée pour l’exercice en cours. Elle doit être renouvelée chaque année par l’assemblée délibérante qui en fixe le plafond par section. Les plafonds maximum fixés par l’assemblée délibérante pour chacune des deux sections ne sont pas nécessairement identiques. L’autorisation est formalisée dans les maquettes budgétaires.</w:t>
      </w:r>
      <w:r w:rsidR="005403F1">
        <w:t xml:space="preserve"> </w:t>
      </w:r>
    </w:p>
    <w:p w:rsidR="006C493E" w:rsidRPr="00706D92" w:rsidRDefault="00C97DE7" w:rsidP="00846C9E">
      <w:pPr>
        <w:rPr>
          <w:u w:val="single"/>
        </w:rPr>
      </w:pPr>
      <w:r w:rsidRPr="00706D92">
        <w:rPr>
          <w:u w:val="single"/>
        </w:rPr>
        <w:t xml:space="preserve">A Sotteville-lès-Rouen, l’exécutif </w:t>
      </w:r>
      <w:r w:rsidR="00A61F45" w:rsidRPr="00706D92">
        <w:rPr>
          <w:u w:val="single"/>
        </w:rPr>
        <w:t xml:space="preserve">est autorisé </w:t>
      </w:r>
      <w:r w:rsidRPr="00706D92">
        <w:rPr>
          <w:u w:val="single"/>
        </w:rPr>
        <w:t>à procéder à des mouvements de crédits jusqu’à 7.5% des dépenses réelles de chaque section.</w:t>
      </w:r>
      <w:r w:rsidR="00E3591F">
        <w:rPr>
          <w:u w:val="single"/>
        </w:rPr>
        <w:t xml:space="preserve"> Cette autorisation est formalisée lors du vote d</w:t>
      </w:r>
      <w:r w:rsidR="007F35ED">
        <w:rPr>
          <w:u w:val="single"/>
        </w:rPr>
        <w:t>e chaque</w:t>
      </w:r>
      <w:r w:rsidR="00E3591F">
        <w:rPr>
          <w:u w:val="single"/>
        </w:rPr>
        <w:t xml:space="preserve"> budget primitif</w:t>
      </w:r>
      <w:r w:rsidR="007F35ED">
        <w:rPr>
          <w:u w:val="single"/>
        </w:rPr>
        <w:t>.</w:t>
      </w:r>
    </w:p>
    <w:p w:rsidR="00D87D5F" w:rsidRDefault="00D87D5F" w:rsidP="001A393E">
      <w:pPr>
        <w:pStyle w:val="Titre2"/>
      </w:pPr>
      <w:bookmarkStart w:id="43" w:name="_Toc144807870"/>
      <w:bookmarkStart w:id="44" w:name="_Toc225785283"/>
      <w:r>
        <w:t>Les chapitres de dépense « opération » de la section d’investissement</w:t>
      </w:r>
      <w:bookmarkEnd w:id="43"/>
      <w:bookmarkEnd w:id="44"/>
    </w:p>
    <w:p w:rsidR="00D87D5F" w:rsidRDefault="00D87D5F" w:rsidP="00846C9E">
      <w:r>
        <w:t>L’assemblée délibérante a la possibilité d’opter pour le vote d’une ou plusieurs opérations en section d’investissement.</w:t>
      </w:r>
    </w:p>
    <w:p w:rsidR="00D87D5F" w:rsidRDefault="00D87D5F" w:rsidP="00846C9E">
      <w:r>
        <w:t>L’</w:t>
      </w:r>
      <w:r w:rsidRPr="00D87D5F">
        <w:rPr>
          <w:b/>
        </w:rPr>
        <w:t>opération</w:t>
      </w:r>
      <w:r>
        <w:t xml:space="preserve"> est constituée par un ensemble d’acquisitions d’immobilisations, de travaux sur immobilisations et de frais d’études y afférents, aboutissant à la réalisation d’un ouvrage ou de plusieurs ouvrages de même nature. Elle peut également comprendre des subventions d’équipement versées par l’entité. La notion d’opération concerne exclusivement les crédits de dépenses.</w:t>
      </w:r>
    </w:p>
    <w:p w:rsidR="00D87D5F" w:rsidRDefault="00D87D5F" w:rsidP="00846C9E">
      <w:r w:rsidRPr="00D87D5F">
        <w:t>Le vote d’une opération au sein de la section d’investissement apporte une plus grande souplesse en matière de gestion des crédits budgétaires. En effet, le contrôle des crédits n’est pas opéré au niveau du compte par nature à deux chiffres, mais à celui de l'enveloppe budgétaire globale réservée à cette opération par l'assemblée, quelle que soit l'imp</w:t>
      </w:r>
      <w:r w:rsidR="006C493E">
        <w:t>utation par nature des dépenses. L’opération est un chapitre budgétaire.</w:t>
      </w:r>
    </w:p>
    <w:tbl>
      <w:tblPr>
        <w:tblStyle w:val="Grilledutableau"/>
        <w:tblW w:w="0" w:type="auto"/>
        <w:tblLook w:val="04A0" w:firstRow="1" w:lastRow="0" w:firstColumn="1" w:lastColumn="0" w:noHBand="0" w:noVBand="1"/>
      </w:tblPr>
      <w:tblGrid>
        <w:gridCol w:w="3016"/>
        <w:gridCol w:w="3033"/>
        <w:gridCol w:w="3011"/>
      </w:tblGrid>
      <w:tr w:rsidR="006C493E" w:rsidTr="006C493E">
        <w:tc>
          <w:tcPr>
            <w:tcW w:w="3070" w:type="dxa"/>
            <w:tcBorders>
              <w:top w:val="nil"/>
              <w:left w:val="nil"/>
            </w:tcBorders>
          </w:tcPr>
          <w:p w:rsidR="006C493E" w:rsidRDefault="00877606" w:rsidP="00846C9E">
            <w:r w:rsidRPr="00877606">
              <w:t>Exemple</w:t>
            </w:r>
            <w:r>
              <w:t> :</w:t>
            </w:r>
          </w:p>
        </w:tc>
        <w:tc>
          <w:tcPr>
            <w:tcW w:w="3071" w:type="dxa"/>
          </w:tcPr>
          <w:p w:rsidR="006C493E" w:rsidRDefault="006C493E" w:rsidP="00846C9E">
            <w:r w:rsidRPr="006C493E">
              <w:t>Intitulé</w:t>
            </w:r>
          </w:p>
        </w:tc>
        <w:tc>
          <w:tcPr>
            <w:tcW w:w="3071" w:type="dxa"/>
          </w:tcPr>
          <w:p w:rsidR="006C493E" w:rsidRDefault="006C493E" w:rsidP="00846C9E">
            <w:r>
              <w:t>Montant</w:t>
            </w:r>
          </w:p>
        </w:tc>
      </w:tr>
      <w:tr w:rsidR="006C493E" w:rsidTr="006C493E">
        <w:tc>
          <w:tcPr>
            <w:tcW w:w="3070" w:type="dxa"/>
          </w:tcPr>
          <w:p w:rsidR="006C493E" w:rsidRDefault="006C493E" w:rsidP="006C493E">
            <w:pPr>
              <w:pStyle w:val="Default"/>
              <w:rPr>
                <w:sz w:val="23"/>
                <w:szCs w:val="23"/>
              </w:rPr>
            </w:pPr>
            <w:r>
              <w:rPr>
                <w:b/>
                <w:bCs/>
                <w:i/>
                <w:iCs/>
                <w:sz w:val="23"/>
                <w:szCs w:val="23"/>
              </w:rPr>
              <w:t xml:space="preserve">Opération n° XXXX </w:t>
            </w:r>
          </w:p>
        </w:tc>
        <w:tc>
          <w:tcPr>
            <w:tcW w:w="3071" w:type="dxa"/>
          </w:tcPr>
          <w:p w:rsidR="006C493E" w:rsidRDefault="006C493E" w:rsidP="006C493E">
            <w:pPr>
              <w:pStyle w:val="Default"/>
              <w:rPr>
                <w:sz w:val="23"/>
                <w:szCs w:val="23"/>
              </w:rPr>
            </w:pPr>
            <w:r>
              <w:rPr>
                <w:i/>
                <w:iCs/>
                <w:sz w:val="23"/>
                <w:szCs w:val="23"/>
              </w:rPr>
              <w:t xml:space="preserve">XXXXXXXXXXX </w:t>
            </w:r>
          </w:p>
        </w:tc>
        <w:tc>
          <w:tcPr>
            <w:tcW w:w="3071" w:type="dxa"/>
          </w:tcPr>
          <w:p w:rsidR="006C493E" w:rsidRDefault="006C493E">
            <w:pPr>
              <w:pStyle w:val="Default"/>
              <w:rPr>
                <w:sz w:val="23"/>
                <w:szCs w:val="23"/>
              </w:rPr>
            </w:pPr>
            <w:r>
              <w:rPr>
                <w:b/>
                <w:bCs/>
                <w:i/>
                <w:iCs/>
                <w:sz w:val="23"/>
                <w:szCs w:val="23"/>
              </w:rPr>
              <w:t xml:space="preserve">1000 </w:t>
            </w:r>
          </w:p>
        </w:tc>
      </w:tr>
      <w:tr w:rsidR="006C493E" w:rsidTr="006C493E">
        <w:tc>
          <w:tcPr>
            <w:tcW w:w="3070" w:type="dxa"/>
          </w:tcPr>
          <w:p w:rsidR="006C493E" w:rsidRDefault="006C493E">
            <w:pPr>
              <w:pStyle w:val="Default"/>
              <w:rPr>
                <w:sz w:val="23"/>
                <w:szCs w:val="23"/>
              </w:rPr>
            </w:pPr>
            <w:r>
              <w:rPr>
                <w:sz w:val="23"/>
                <w:szCs w:val="23"/>
              </w:rPr>
              <w:t xml:space="preserve">2031 </w:t>
            </w:r>
          </w:p>
        </w:tc>
        <w:tc>
          <w:tcPr>
            <w:tcW w:w="3071" w:type="dxa"/>
          </w:tcPr>
          <w:p w:rsidR="006C493E" w:rsidRDefault="006C493E">
            <w:pPr>
              <w:pStyle w:val="Default"/>
              <w:rPr>
                <w:sz w:val="23"/>
                <w:szCs w:val="23"/>
              </w:rPr>
            </w:pPr>
            <w:r>
              <w:rPr>
                <w:sz w:val="23"/>
                <w:szCs w:val="23"/>
              </w:rPr>
              <w:t xml:space="preserve">Frais d’études </w:t>
            </w:r>
          </w:p>
        </w:tc>
        <w:tc>
          <w:tcPr>
            <w:tcW w:w="3071" w:type="dxa"/>
          </w:tcPr>
          <w:p w:rsidR="006C493E" w:rsidRDefault="006C493E">
            <w:pPr>
              <w:pStyle w:val="Default"/>
              <w:rPr>
                <w:sz w:val="23"/>
                <w:szCs w:val="23"/>
              </w:rPr>
            </w:pPr>
            <w:r>
              <w:rPr>
                <w:sz w:val="23"/>
                <w:szCs w:val="23"/>
              </w:rPr>
              <w:t xml:space="preserve">100 </w:t>
            </w:r>
          </w:p>
        </w:tc>
      </w:tr>
      <w:tr w:rsidR="006C493E" w:rsidTr="006C493E">
        <w:tc>
          <w:tcPr>
            <w:tcW w:w="3070" w:type="dxa"/>
          </w:tcPr>
          <w:p w:rsidR="006C493E" w:rsidRDefault="006C493E">
            <w:pPr>
              <w:pStyle w:val="Default"/>
              <w:rPr>
                <w:sz w:val="23"/>
                <w:szCs w:val="23"/>
              </w:rPr>
            </w:pPr>
            <w:r>
              <w:rPr>
                <w:sz w:val="23"/>
                <w:szCs w:val="23"/>
              </w:rPr>
              <w:t xml:space="preserve">2111 </w:t>
            </w:r>
          </w:p>
        </w:tc>
        <w:tc>
          <w:tcPr>
            <w:tcW w:w="3071" w:type="dxa"/>
          </w:tcPr>
          <w:p w:rsidR="006C493E" w:rsidRDefault="006C493E">
            <w:pPr>
              <w:pStyle w:val="Default"/>
              <w:rPr>
                <w:sz w:val="23"/>
                <w:szCs w:val="23"/>
              </w:rPr>
            </w:pPr>
            <w:r>
              <w:rPr>
                <w:sz w:val="23"/>
                <w:szCs w:val="23"/>
              </w:rPr>
              <w:t xml:space="preserve">Terrain </w:t>
            </w:r>
          </w:p>
        </w:tc>
        <w:tc>
          <w:tcPr>
            <w:tcW w:w="3071" w:type="dxa"/>
          </w:tcPr>
          <w:p w:rsidR="006C493E" w:rsidRDefault="00E164A3">
            <w:pPr>
              <w:pStyle w:val="Default"/>
              <w:rPr>
                <w:sz w:val="23"/>
                <w:szCs w:val="23"/>
              </w:rPr>
            </w:pPr>
            <w:r>
              <w:rPr>
                <w:sz w:val="23"/>
                <w:szCs w:val="23"/>
              </w:rPr>
              <w:t>3</w:t>
            </w:r>
            <w:r w:rsidR="006C493E">
              <w:rPr>
                <w:sz w:val="23"/>
                <w:szCs w:val="23"/>
              </w:rPr>
              <w:t xml:space="preserve">00 </w:t>
            </w:r>
          </w:p>
        </w:tc>
      </w:tr>
      <w:tr w:rsidR="006C493E" w:rsidTr="006C493E">
        <w:tc>
          <w:tcPr>
            <w:tcW w:w="3070" w:type="dxa"/>
          </w:tcPr>
          <w:p w:rsidR="006C493E" w:rsidRDefault="006C493E">
            <w:pPr>
              <w:pStyle w:val="Default"/>
              <w:rPr>
                <w:sz w:val="23"/>
                <w:szCs w:val="23"/>
              </w:rPr>
            </w:pPr>
            <w:r>
              <w:rPr>
                <w:sz w:val="23"/>
                <w:szCs w:val="23"/>
              </w:rPr>
              <w:t xml:space="preserve">2313 </w:t>
            </w:r>
          </w:p>
        </w:tc>
        <w:tc>
          <w:tcPr>
            <w:tcW w:w="3071" w:type="dxa"/>
          </w:tcPr>
          <w:p w:rsidR="006C493E" w:rsidRDefault="006C493E">
            <w:pPr>
              <w:pStyle w:val="Default"/>
              <w:rPr>
                <w:sz w:val="23"/>
                <w:szCs w:val="23"/>
              </w:rPr>
            </w:pPr>
            <w:r>
              <w:rPr>
                <w:sz w:val="23"/>
                <w:szCs w:val="23"/>
              </w:rPr>
              <w:t xml:space="preserve">Construction en cours </w:t>
            </w:r>
          </w:p>
        </w:tc>
        <w:tc>
          <w:tcPr>
            <w:tcW w:w="3071" w:type="dxa"/>
          </w:tcPr>
          <w:p w:rsidR="006C493E" w:rsidRDefault="006C493E">
            <w:pPr>
              <w:pStyle w:val="Default"/>
              <w:rPr>
                <w:sz w:val="23"/>
                <w:szCs w:val="23"/>
              </w:rPr>
            </w:pPr>
            <w:r>
              <w:rPr>
                <w:sz w:val="23"/>
                <w:szCs w:val="23"/>
              </w:rPr>
              <w:t xml:space="preserve">600 </w:t>
            </w:r>
          </w:p>
        </w:tc>
      </w:tr>
    </w:tbl>
    <w:p w:rsidR="006C493E" w:rsidRPr="00877606" w:rsidRDefault="006C493E" w:rsidP="00846C9E">
      <w:r w:rsidRPr="00877606">
        <w:t>Le contrôle de l’existence des crédits budgétaires s’effectue au niveau du chapitre opération n° XXXX. Il est possible de mandater au-delà du montant de chacun des articles indiqués au budget, à condition de respecter l’enveloppe globale de l’opération.</w:t>
      </w:r>
    </w:p>
    <w:p w:rsidR="00C97DE7" w:rsidRPr="009038BA" w:rsidRDefault="00D87D5F" w:rsidP="009038BA">
      <w:pPr>
        <w:rPr>
          <w:u w:val="single"/>
        </w:rPr>
      </w:pPr>
      <w:r w:rsidRPr="003C5DF5">
        <w:rPr>
          <w:u w:val="single"/>
        </w:rPr>
        <w:t xml:space="preserve">A Sotteville-lès-Rouen, </w:t>
      </w:r>
      <w:r w:rsidR="007361F9">
        <w:rPr>
          <w:u w:val="single"/>
        </w:rPr>
        <w:t>chaque</w:t>
      </w:r>
      <w:r w:rsidRPr="003C5DF5">
        <w:rPr>
          <w:u w:val="single"/>
        </w:rPr>
        <w:t xml:space="preserve"> </w:t>
      </w:r>
      <w:r w:rsidR="007361F9">
        <w:rPr>
          <w:u w:val="single"/>
        </w:rPr>
        <w:t>autorisation de programme constitue</w:t>
      </w:r>
      <w:r w:rsidRPr="003C5DF5">
        <w:rPr>
          <w:u w:val="single"/>
        </w:rPr>
        <w:t xml:space="preserve"> </w:t>
      </w:r>
      <w:r w:rsidR="007361F9">
        <w:rPr>
          <w:u w:val="single"/>
        </w:rPr>
        <w:t>une</w:t>
      </w:r>
      <w:r w:rsidRPr="003C5DF5">
        <w:rPr>
          <w:u w:val="single"/>
        </w:rPr>
        <w:t xml:space="preserve"> opération</w:t>
      </w:r>
      <w:r w:rsidR="00830994">
        <w:rPr>
          <w:u w:val="single"/>
        </w:rPr>
        <w:t xml:space="preserve">. </w:t>
      </w:r>
      <w:r w:rsidR="00991D38">
        <w:rPr>
          <w:u w:val="single"/>
        </w:rPr>
        <w:t>Elles font l’objet d’un vote et constituent un chapitre budgétaire</w:t>
      </w:r>
      <w:r w:rsidR="00830994">
        <w:rPr>
          <w:u w:val="single"/>
        </w:rPr>
        <w:t>.</w:t>
      </w:r>
      <w:r w:rsidR="00C97DE7">
        <w:br w:type="page"/>
      </w:r>
    </w:p>
    <w:p w:rsidR="009820DB" w:rsidRDefault="00967A1F" w:rsidP="0074583B">
      <w:pPr>
        <w:pStyle w:val="Titre1"/>
      </w:pPr>
      <w:bookmarkStart w:id="45" w:name="_Toc144372013"/>
      <w:bookmarkStart w:id="46" w:name="_Toc144807525"/>
      <w:bookmarkStart w:id="47" w:name="_Toc144807772"/>
      <w:bookmarkStart w:id="48" w:name="_Toc144807871"/>
      <w:bookmarkStart w:id="49" w:name="_Toc225785284"/>
      <w:r>
        <w:lastRenderedPageBreak/>
        <w:t>0</w:t>
      </w:r>
      <w:r w:rsidR="00C97DE7">
        <w:t xml:space="preserve">7 </w:t>
      </w:r>
      <w:r w:rsidR="006978A1">
        <w:t>L</w:t>
      </w:r>
      <w:r w:rsidR="009820DB">
        <w:t>a gestion pluriannuelle des crédits</w:t>
      </w:r>
      <w:r w:rsidR="00877606">
        <w:t> : autorisations de programme, autorisations d’engagement, et crédits de paiement</w:t>
      </w:r>
      <w:bookmarkEnd w:id="45"/>
      <w:bookmarkEnd w:id="46"/>
      <w:bookmarkEnd w:id="47"/>
      <w:bookmarkEnd w:id="48"/>
      <w:bookmarkEnd w:id="49"/>
    </w:p>
    <w:p w:rsidR="00AE3B25" w:rsidRDefault="00E164A3" w:rsidP="00846C9E">
      <w:r>
        <w:t>Les communes peuvent avoir recours à l</w:t>
      </w:r>
      <w:r w:rsidR="006978A1">
        <w:t>a gestion pl</w:t>
      </w:r>
      <w:r>
        <w:t xml:space="preserve">uriannuelle des crédits, laquelle est un aménagement </w:t>
      </w:r>
      <w:r w:rsidR="006978A1">
        <w:t>au principe d’annualité budgétaire.</w:t>
      </w:r>
      <w:r w:rsidR="00AE3B25">
        <w:t xml:space="preserve"> Ainsi, le budget peut être présenté sous la forme d’autorisations de programme (AP) et crédits de paiement (CP) pour tout ou partie de la section d’investissement et </w:t>
      </w:r>
      <w:r>
        <w:t xml:space="preserve">sous la forme </w:t>
      </w:r>
      <w:r w:rsidR="00AE3B25">
        <w:t>d’autorisations d’engagement (AE) et crédits de paiement (CP) dans les limites légales</w:t>
      </w:r>
      <w:r w:rsidR="00A6347D">
        <w:t xml:space="preserve"> prévues pour la section de fonctionnement</w:t>
      </w:r>
      <w:r w:rsidR="00AE3B25">
        <w:t xml:space="preserve">. </w:t>
      </w:r>
    </w:p>
    <w:p w:rsidR="00F4387E" w:rsidRDefault="00F4387E" w:rsidP="001A393E">
      <w:pPr>
        <w:pStyle w:val="Titre2"/>
      </w:pPr>
      <w:bookmarkStart w:id="50" w:name="_Toc144807872"/>
      <w:bookmarkStart w:id="51" w:name="_Toc225785285"/>
      <w:r>
        <w:t>Définitions</w:t>
      </w:r>
      <w:bookmarkEnd w:id="50"/>
      <w:bookmarkEnd w:id="51"/>
    </w:p>
    <w:p w:rsidR="00AE3B25" w:rsidRPr="00622A8F" w:rsidRDefault="00AE3B25" w:rsidP="00846C9E">
      <w:r w:rsidRPr="00622A8F">
        <w:t xml:space="preserve">Les </w:t>
      </w:r>
      <w:r w:rsidRPr="001E4FF0">
        <w:rPr>
          <w:b/>
        </w:rPr>
        <w:t>autorisations de programme</w:t>
      </w:r>
      <w:r w:rsidRPr="00622A8F">
        <w:t xml:space="preserve"> </w:t>
      </w:r>
      <w:r w:rsidRPr="00AE3B25">
        <w:rPr>
          <w:b/>
        </w:rPr>
        <w:t>(AP)</w:t>
      </w:r>
      <w:r>
        <w:t xml:space="preserve"> </w:t>
      </w:r>
      <w:r w:rsidRPr="00622A8F">
        <w:t>constituent la limite supérieure des dépenses qui peuvent être engagées pour le financement des investissements. Les autorisations de programme correspondent à des dépenses à caractère pluriannuel se rapportant à une immobilisation ou à un ensemble d'immobilisations déterminées, acquises ou réalisées par la commune, ou à des subventions d'équipement versées à des tiers. Elles sont créées par le vote d’une délibération et demeurent valables, sans limitation de durée, jusqu'à ce qu'il soit procédé à leur annulation. Elles peuvent être révisées</w:t>
      </w:r>
      <w:r w:rsidR="003A55A9">
        <w:t xml:space="preserve"> à l’occasion d’une modification budgétaire</w:t>
      </w:r>
      <w:r w:rsidRPr="00622A8F">
        <w:t>.</w:t>
      </w:r>
    </w:p>
    <w:p w:rsidR="00AE3B25" w:rsidRDefault="00AE3B25" w:rsidP="00846C9E">
      <w:r>
        <w:t xml:space="preserve">Les </w:t>
      </w:r>
      <w:r w:rsidRPr="00AE3B25">
        <w:rPr>
          <w:b/>
        </w:rPr>
        <w:t>autorisations d'engagement (AE)</w:t>
      </w:r>
      <w:r>
        <w:t xml:space="preserve"> sont réservées aux seules dépenses de fonctionnement résultant de conventions, de délibérations ou de décisions, au titre desquelles la commune s'engage, au-delà d'un exercice budgétaire, à verser une subvention, une participation ou une rémunération à un tiers</w:t>
      </w:r>
      <w:r>
        <w:rPr>
          <w:rStyle w:val="Appelnotedebasdep"/>
        </w:rPr>
        <w:footnoteReference w:id="13"/>
      </w:r>
      <w:r>
        <w:t>. Les autorisations d'engagement constituent la limite supérieure des dépenses de fonctionnement qui peuvent être engagées. Elles demeurent valables sans limitation de durée jusqu'à ce qu'il soit procédé à leur annulation. Elles peuvent être révisées</w:t>
      </w:r>
      <w:r w:rsidR="003A55A9">
        <w:t xml:space="preserve"> </w:t>
      </w:r>
      <w:r w:rsidR="003A55A9" w:rsidRPr="003A55A9">
        <w:t>à l’occasion d’une modification budgétaire</w:t>
      </w:r>
      <w:r>
        <w:t>.</w:t>
      </w:r>
    </w:p>
    <w:p w:rsidR="00AE3B25" w:rsidRDefault="00AE3B25" w:rsidP="00846C9E">
      <w:r>
        <w:t xml:space="preserve">Les </w:t>
      </w:r>
      <w:r w:rsidRPr="001E4FF0">
        <w:rPr>
          <w:b/>
        </w:rPr>
        <w:t>crédits de paiement</w:t>
      </w:r>
      <w:r>
        <w:rPr>
          <w:b/>
        </w:rPr>
        <w:t xml:space="preserve"> (CP)</w:t>
      </w:r>
      <w:r>
        <w:t xml:space="preserve"> constituent la limite supérieure des dépenses pouvant être mandatées pendant l'année pour la couverture des engagements contractés dans le cadre des autorisations de programme ou d’engagement correspondantes.</w:t>
      </w:r>
    </w:p>
    <w:p w:rsidR="00F4387E" w:rsidRDefault="000A1F85" w:rsidP="001A393E">
      <w:pPr>
        <w:pStyle w:val="Titre2"/>
      </w:pPr>
      <w:bookmarkStart w:id="52" w:name="_Toc144807873"/>
      <w:bookmarkStart w:id="53" w:name="_Toc225785286"/>
      <w:r>
        <w:t>Règles</w:t>
      </w:r>
      <w:r w:rsidR="00F4387E">
        <w:t xml:space="preserve"> budgétaires</w:t>
      </w:r>
      <w:bookmarkEnd w:id="52"/>
      <w:bookmarkEnd w:id="53"/>
    </w:p>
    <w:p w:rsidR="00AE3B25" w:rsidRDefault="00F4387E" w:rsidP="00846C9E">
      <w:r>
        <w:t>L</w:t>
      </w:r>
      <w:r w:rsidR="00AE3B25">
        <w:t>'équilibre budgétaire des sections d'investissement et de fonctionnement s'apprécient en tenant compte des seuls crédits de paiement.</w:t>
      </w:r>
    </w:p>
    <w:p w:rsidR="003A55A9" w:rsidRDefault="00AE3B25" w:rsidP="00062477">
      <w:pPr>
        <w:spacing w:after="0"/>
      </w:pPr>
      <w:r>
        <w:t>La situation des autorisations d'engagement et de programme, ainsi que des crédits de paiement y afférents donne lieu à un état joint aux documents budgétaires</w:t>
      </w:r>
      <w:r w:rsidR="003A55A9">
        <w:t xml:space="preserve"> : </w:t>
      </w:r>
    </w:p>
    <w:p w:rsidR="003A55A9" w:rsidRDefault="003A55A9" w:rsidP="00846C9E">
      <w:pPr>
        <w:pStyle w:val="Paragraphedeliste"/>
        <w:numPr>
          <w:ilvl w:val="0"/>
          <w:numId w:val="5"/>
        </w:numPr>
      </w:pPr>
      <w:r>
        <w:t>le budget primitif fixe les crédits de paiement ouverts pour l’année en cours (annexe budgétaire dédiée</w:t>
      </w:r>
      <w:r w:rsidR="008736C2">
        <w:t xml:space="preserve"> et rapport accompagnant la maquette budgétaire</w:t>
      </w:r>
      <w:r>
        <w:t>)</w:t>
      </w:r>
    </w:p>
    <w:p w:rsidR="006978A1" w:rsidRDefault="003A55A9" w:rsidP="00846C9E">
      <w:pPr>
        <w:pStyle w:val="Paragraphedeliste"/>
        <w:numPr>
          <w:ilvl w:val="0"/>
          <w:numId w:val="5"/>
        </w:numPr>
      </w:pPr>
      <w:r>
        <w:t>le compte administratif arrête les crédits de paiement consommés durant l’année écoulée (annexe dédiée</w:t>
      </w:r>
      <w:r w:rsidR="008736C2">
        <w:t xml:space="preserve"> et rapport accompagnant le compte administratif</w:t>
      </w:r>
      <w:r>
        <w:t>).</w:t>
      </w:r>
    </w:p>
    <w:p w:rsidR="003A55A9" w:rsidRDefault="003A55A9" w:rsidP="00846C9E">
      <w:pPr>
        <w:pStyle w:val="Paragraphedeliste"/>
        <w:numPr>
          <w:ilvl w:val="0"/>
          <w:numId w:val="5"/>
        </w:numPr>
      </w:pPr>
      <w:r>
        <w:t>Une décision modificative de budget peut réviser les crédits de paiement ouverts pour l’année (annexe dédiée le cas échéant</w:t>
      </w:r>
      <w:r w:rsidR="008736C2">
        <w:t xml:space="preserve"> et note accompagnant la délibération budgétaire</w:t>
      </w:r>
      <w:r>
        <w:t>).</w:t>
      </w:r>
    </w:p>
    <w:p w:rsidR="003A55A9" w:rsidRDefault="003A55A9" w:rsidP="00846C9E">
      <w:r>
        <w:lastRenderedPageBreak/>
        <w:t>Le montant global d’une autorisation d’engagement ou de programme p</w:t>
      </w:r>
      <w:r w:rsidR="00062477">
        <w:t>eut être révisé lors du vote d’une délibération budgétaire (BP ou DM)</w:t>
      </w:r>
    </w:p>
    <w:p w:rsidR="00A96662" w:rsidRDefault="00A96662" w:rsidP="001A393E">
      <w:pPr>
        <w:pStyle w:val="Titre2"/>
      </w:pPr>
      <w:bookmarkStart w:id="54" w:name="_Toc144807874"/>
      <w:bookmarkStart w:id="55" w:name="_Toc225785287"/>
      <w:r>
        <w:t>Modalités de mise en œuvre à Sotteville-lès-Rouen</w:t>
      </w:r>
      <w:bookmarkEnd w:id="54"/>
      <w:bookmarkEnd w:id="55"/>
    </w:p>
    <w:p w:rsidR="00A96662" w:rsidRDefault="0043523D" w:rsidP="00846C9E">
      <w:r>
        <w:t>Depuis 2019, l</w:t>
      </w:r>
      <w:r w:rsidR="00A96662">
        <w:t xml:space="preserve">a Ville met en place des autorisations de programme pour les opérations dont la durée de réalisation prévisionnelle est supérieure à 18 mois. L’utilisation des autorisations de programme permet en effet d’éviter d’avoir à mobiliser des crédits budgétaires trop en amont de la réalisation effective des dépenses. Par nature, ces opérations représentent des projets particulièrement structurants pour la collectivité, </w:t>
      </w:r>
      <w:r w:rsidR="002A41AF">
        <w:t>qui</w:t>
      </w:r>
      <w:r w:rsidR="00A96662">
        <w:t xml:space="preserve"> sortent du plan pluriannuel des investissements </w:t>
      </w:r>
      <w:r w:rsidR="002A41AF">
        <w:t>courant</w:t>
      </w:r>
      <w:r w:rsidR="001F36A3">
        <w:t>s</w:t>
      </w:r>
      <w:r w:rsidR="002A41AF">
        <w:t xml:space="preserve"> </w:t>
      </w:r>
      <w:r w:rsidR="00A96662">
        <w:t>de la collectivité.</w:t>
      </w:r>
      <w:r w:rsidR="00F659C5">
        <w:t xml:space="preserve"> L’usage des AP au sein de la collectivité est celui d’« AP de projet »</w:t>
      </w:r>
      <w:r w:rsidR="00F659C5">
        <w:rPr>
          <w:rStyle w:val="Appelnotedebasdep"/>
        </w:rPr>
        <w:footnoteReference w:id="14"/>
      </w:r>
      <w:r w:rsidR="00F659C5">
        <w:t>.</w:t>
      </w:r>
    </w:p>
    <w:p w:rsidR="00E95E5A" w:rsidRPr="006C0A86" w:rsidRDefault="00061FAD" w:rsidP="00846C9E">
      <w:pPr>
        <w:rPr>
          <w:u w:val="single"/>
        </w:rPr>
      </w:pPr>
      <w:r>
        <w:t xml:space="preserve">Elles font l’objet d’une présentation spécifique au sein </w:t>
      </w:r>
      <w:r w:rsidR="00E95E5A">
        <w:t>du</w:t>
      </w:r>
      <w:r>
        <w:t xml:space="preserve"> rapport d’orientation budgétaire</w:t>
      </w:r>
      <w:r w:rsidR="00E95E5A">
        <w:t>, qui présente l’utilisation des crédits de paiement à venir pour l’année en cours, mais également les perspectives de consommation pour les années à venir</w:t>
      </w:r>
      <w:r w:rsidR="006C0A86">
        <w:t xml:space="preserve">. </w:t>
      </w:r>
      <w:r w:rsidR="006C0A86" w:rsidRPr="006C0A86">
        <w:rPr>
          <w:u w:val="single"/>
        </w:rPr>
        <w:t xml:space="preserve">A Sotteville-lès-Rouen, </w:t>
      </w:r>
      <w:r w:rsidR="00DE4C23" w:rsidRPr="006C0A86">
        <w:rPr>
          <w:u w:val="single"/>
        </w:rPr>
        <w:t>les éventuelles recettes attendues et le reste à charge prévisionnel pour la collectivité</w:t>
      </w:r>
      <w:r w:rsidR="006C0A86" w:rsidRPr="006C0A86">
        <w:rPr>
          <w:u w:val="single"/>
        </w:rPr>
        <w:t xml:space="preserve"> sont également présentées au sein du rapport d’orientation budgétaire</w:t>
      </w:r>
      <w:r w:rsidR="00E95E5A" w:rsidRPr="006C0A86">
        <w:rPr>
          <w:u w:val="single"/>
        </w:rPr>
        <w:t xml:space="preserve">. </w:t>
      </w:r>
      <w:r w:rsidR="00681D3B" w:rsidRPr="006C0A86">
        <w:rPr>
          <w:u w:val="single"/>
        </w:rPr>
        <w:t>Un bilan des réalisations de l’exercice a lieu lors de la présentation du compte administratif</w:t>
      </w:r>
      <w:r w:rsidR="00062477">
        <w:rPr>
          <w:u w:val="single"/>
        </w:rPr>
        <w:t xml:space="preserve"> et figure dans le rapport accompagnant ce dernier.</w:t>
      </w:r>
    </w:p>
    <w:p w:rsidR="00B25498" w:rsidRDefault="00D57CE7" w:rsidP="00846C9E">
      <w:pPr>
        <w:rPr>
          <w:u w:val="single"/>
        </w:rPr>
      </w:pPr>
      <w:r w:rsidRPr="006C0A86">
        <w:t xml:space="preserve">En plus des dispositions règlementaires susmentionnées, </w:t>
      </w:r>
      <w:r w:rsidR="004626CB" w:rsidRPr="006C614F">
        <w:rPr>
          <w:u w:val="single"/>
        </w:rPr>
        <w:t xml:space="preserve">à des fins de transparence à l’égard du conseil municipal, </w:t>
      </w:r>
      <w:r w:rsidRPr="006C614F">
        <w:rPr>
          <w:u w:val="single"/>
        </w:rPr>
        <w:t>u</w:t>
      </w:r>
      <w:r w:rsidR="00E95E5A" w:rsidRPr="006C614F">
        <w:rPr>
          <w:u w:val="single"/>
        </w:rPr>
        <w:t xml:space="preserve">n bilan financier de l’autorisation de programme est présenté lors de </w:t>
      </w:r>
      <w:r w:rsidR="00B25498">
        <w:rPr>
          <w:u w:val="single"/>
        </w:rPr>
        <w:t>son annulation</w:t>
      </w:r>
      <w:r w:rsidR="00E95E5A" w:rsidRPr="006C614F">
        <w:rPr>
          <w:rStyle w:val="Appelnotedebasdep"/>
          <w:u w:val="single"/>
        </w:rPr>
        <w:footnoteReference w:id="15"/>
      </w:r>
      <w:r w:rsidR="004626CB" w:rsidRPr="006C614F">
        <w:rPr>
          <w:u w:val="single"/>
        </w:rPr>
        <w:t>.</w:t>
      </w:r>
      <w:r w:rsidR="00E95E5A" w:rsidRPr="006C614F">
        <w:rPr>
          <w:u w:val="single"/>
        </w:rPr>
        <w:t xml:space="preserve"> </w:t>
      </w:r>
      <w:r w:rsidR="004626CB" w:rsidRPr="006C614F">
        <w:rPr>
          <w:u w:val="single"/>
        </w:rPr>
        <w:br/>
        <w:t>C</w:t>
      </w:r>
      <w:r w:rsidR="00E95E5A" w:rsidRPr="006C614F">
        <w:rPr>
          <w:u w:val="single"/>
        </w:rPr>
        <w:t>e bilan présente notamment, dans un tableau comptable, l’ensemble des dépenses et des recettes enregistrées par imputation comptable, les tiers ayant subventionné l’opération, le reste à charge pour la collectivité.</w:t>
      </w:r>
      <w:r w:rsidR="00CC05C3" w:rsidRPr="006C614F">
        <w:rPr>
          <w:u w:val="single"/>
        </w:rPr>
        <w:t xml:space="preserve"> Dans le silence des textes, par soucis de mimétisme juridique</w:t>
      </w:r>
      <w:r w:rsidR="00062477">
        <w:rPr>
          <w:u w:val="single"/>
        </w:rPr>
        <w:t xml:space="preserve"> avec la procédure permettrant d’ouvrir une autorisation de programme</w:t>
      </w:r>
      <w:r w:rsidR="00CC05C3" w:rsidRPr="006C614F">
        <w:rPr>
          <w:u w:val="single"/>
        </w:rPr>
        <w:t xml:space="preserve">, </w:t>
      </w:r>
      <w:r w:rsidR="00B25498">
        <w:rPr>
          <w:u w:val="single"/>
        </w:rPr>
        <w:t>l’annulation</w:t>
      </w:r>
      <w:r w:rsidR="00CC05C3" w:rsidRPr="006C614F">
        <w:rPr>
          <w:u w:val="single"/>
        </w:rPr>
        <w:t xml:space="preserve"> </w:t>
      </w:r>
      <w:r w:rsidR="00B25498">
        <w:rPr>
          <w:u w:val="single"/>
        </w:rPr>
        <w:t>d’</w:t>
      </w:r>
      <w:r w:rsidR="00CC05C3" w:rsidRPr="006C614F">
        <w:rPr>
          <w:u w:val="single"/>
        </w:rPr>
        <w:t>une autorisation de programme fait l’objet d’une délibération.</w:t>
      </w:r>
      <w:r w:rsidR="00B25498">
        <w:rPr>
          <w:u w:val="single"/>
        </w:rPr>
        <w:t xml:space="preserve"> </w:t>
      </w:r>
    </w:p>
    <w:p w:rsidR="00061FAD" w:rsidRDefault="00B25498" w:rsidP="00846C9E">
      <w:pPr>
        <w:rPr>
          <w:u w:val="single"/>
        </w:rPr>
      </w:pPr>
      <w:r>
        <w:rPr>
          <w:u w:val="single"/>
        </w:rPr>
        <w:t xml:space="preserve">Une autorisation de programme qui n’aurait connu aucune consommation de crédit de paiement durant deux exercices </w:t>
      </w:r>
      <w:r w:rsidR="00BE4C55">
        <w:rPr>
          <w:u w:val="single"/>
        </w:rPr>
        <w:t xml:space="preserve">clos </w:t>
      </w:r>
      <w:r>
        <w:rPr>
          <w:u w:val="single"/>
        </w:rPr>
        <w:t xml:space="preserve">consécutifs ni aucune révision du montant global durant </w:t>
      </w:r>
      <w:r w:rsidR="00062477">
        <w:rPr>
          <w:u w:val="single"/>
        </w:rPr>
        <w:t>cette</w:t>
      </w:r>
      <w:r>
        <w:rPr>
          <w:u w:val="single"/>
        </w:rPr>
        <w:t xml:space="preserve"> même durée est réputée caduque, donc annulée</w:t>
      </w:r>
      <w:r w:rsidR="00062477">
        <w:rPr>
          <w:u w:val="single"/>
        </w:rPr>
        <w:t>. U</w:t>
      </w:r>
      <w:r>
        <w:rPr>
          <w:u w:val="single"/>
        </w:rPr>
        <w:t>ne délibération actant son annulation</w:t>
      </w:r>
      <w:r w:rsidR="00062477">
        <w:rPr>
          <w:u w:val="single"/>
        </w:rPr>
        <w:t xml:space="preserve"> et présentant son bilan financier est soumise lors de la prochaine réunion de l’assemblée délibérante</w:t>
      </w:r>
      <w:r>
        <w:rPr>
          <w:u w:val="single"/>
        </w:rPr>
        <w:t>.</w:t>
      </w:r>
    </w:p>
    <w:p w:rsidR="008F7610" w:rsidRDefault="00AE3B25" w:rsidP="00846C9E">
      <w:r>
        <w:t xml:space="preserve">A la date de rédaction du présent document, la Ville de Sotteville-lès-Rouen a </w:t>
      </w:r>
      <w:r w:rsidR="00DE4C23">
        <w:t>créé</w:t>
      </w:r>
      <w:r>
        <w:t xml:space="preserve"> quatre</w:t>
      </w:r>
      <w:r w:rsidR="00F4387E">
        <w:t xml:space="preserve"> autorisations de programme.</w:t>
      </w:r>
    </w:p>
    <w:p w:rsidR="00AE3B25" w:rsidRDefault="00BA2D16" w:rsidP="00846C9E">
      <w:r>
        <w:t xml:space="preserve">Les autorisations d’engagement, non utilisées à ce stade, suivraient les mêmes modalités de mise en </w:t>
      </w:r>
      <w:r w:rsidR="009129D7">
        <w:t>œuvre</w:t>
      </w:r>
      <w:r>
        <w:t xml:space="preserve"> que celles appliquées aux autorisations de programme.</w:t>
      </w:r>
      <w:r w:rsidR="00AE3B25">
        <w:br w:type="page"/>
      </w:r>
    </w:p>
    <w:p w:rsidR="00061FAD" w:rsidRDefault="00967A1F" w:rsidP="0074583B">
      <w:pPr>
        <w:pStyle w:val="Titre1"/>
      </w:pPr>
      <w:bookmarkStart w:id="56" w:name="_Toc144372014"/>
      <w:bookmarkStart w:id="57" w:name="_Toc144807526"/>
      <w:bookmarkStart w:id="58" w:name="_Toc144807773"/>
      <w:bookmarkStart w:id="59" w:name="_Toc144807875"/>
      <w:bookmarkStart w:id="60" w:name="_Toc225785288"/>
      <w:r>
        <w:lastRenderedPageBreak/>
        <w:t>0</w:t>
      </w:r>
      <w:r w:rsidR="00DE4C23">
        <w:t xml:space="preserve">8 </w:t>
      </w:r>
      <w:r w:rsidR="0043523D">
        <w:t>Comptabilité des engagements</w:t>
      </w:r>
      <w:bookmarkEnd w:id="56"/>
      <w:bookmarkEnd w:id="57"/>
      <w:bookmarkEnd w:id="58"/>
      <w:bookmarkEnd w:id="59"/>
      <w:bookmarkEnd w:id="60"/>
      <w:r w:rsidR="0043523D">
        <w:t xml:space="preserve"> </w:t>
      </w:r>
    </w:p>
    <w:p w:rsidR="00061FAD" w:rsidRDefault="00061FAD" w:rsidP="00846C9E">
      <w:r>
        <w:t xml:space="preserve">Le code général des collectivités territoriales prévoit la tenue par l’ordonnateur </w:t>
      </w:r>
      <w:r w:rsidR="00DE4C23">
        <w:t xml:space="preserve">de la comptabilité de </w:t>
      </w:r>
      <w:r w:rsidR="00D57CE7">
        <w:t>l’</w:t>
      </w:r>
      <w:r w:rsidR="00DE4C23">
        <w:t>engagement</w:t>
      </w:r>
      <w:r w:rsidR="00D57CE7">
        <w:t xml:space="preserve"> des dépenses</w:t>
      </w:r>
      <w:r w:rsidR="00DE4C23">
        <w:rPr>
          <w:rStyle w:val="Appelnotedebasdep"/>
        </w:rPr>
        <w:footnoteReference w:id="16"/>
      </w:r>
      <w:r w:rsidR="00DE4C23">
        <w:t xml:space="preserve">. </w:t>
      </w:r>
    </w:p>
    <w:p w:rsidR="00D57CE7" w:rsidRDefault="00D57CE7" w:rsidP="001A393E">
      <w:pPr>
        <w:pStyle w:val="Titre2"/>
      </w:pPr>
      <w:bookmarkStart w:id="61" w:name="_Toc144807876"/>
      <w:bookmarkStart w:id="62" w:name="_Toc225785289"/>
      <w:r>
        <w:t>Définitions</w:t>
      </w:r>
      <w:bookmarkEnd w:id="61"/>
      <w:bookmarkEnd w:id="62"/>
    </w:p>
    <w:p w:rsidR="00D57CE7" w:rsidRDefault="00D57CE7" w:rsidP="00846C9E">
      <w:r w:rsidRPr="00D57CE7">
        <w:t>L’engagement se décompose en un engagement comptable et un engagement juridique</w:t>
      </w:r>
      <w:r>
        <w:t> :</w:t>
      </w:r>
    </w:p>
    <w:p w:rsidR="00D57CE7" w:rsidRDefault="00D57CE7" w:rsidP="001A393E">
      <w:pPr>
        <w:pStyle w:val="Paragraphedeliste"/>
        <w:numPr>
          <w:ilvl w:val="1"/>
          <w:numId w:val="5"/>
        </w:numPr>
        <w:ind w:left="567" w:hanging="283"/>
      </w:pPr>
      <w:r w:rsidRPr="00D57CE7">
        <w:rPr>
          <w:b/>
        </w:rPr>
        <w:t>l’engagement comptable</w:t>
      </w:r>
      <w:r>
        <w:t xml:space="preserve"> représente la réservation des crédits à la dépense ; </w:t>
      </w:r>
    </w:p>
    <w:p w:rsidR="00D57CE7" w:rsidRDefault="00D57CE7" w:rsidP="001A393E">
      <w:pPr>
        <w:pStyle w:val="Paragraphedeliste"/>
        <w:numPr>
          <w:ilvl w:val="1"/>
          <w:numId w:val="5"/>
        </w:numPr>
        <w:ind w:left="567" w:hanging="283"/>
      </w:pPr>
      <w:r w:rsidRPr="00D57CE7">
        <w:rPr>
          <w:b/>
        </w:rPr>
        <w:t>l’engagement juridique</w:t>
      </w:r>
      <w:r>
        <w:t xml:space="preserve"> constate l’obligation de payer : il correspond à la définition donnée à l’article 30 du décret n° 2012-1246 du 7 novembre 2012 relatif à la gestion budgétaire et comptable publique </w:t>
      </w:r>
      <w:r w:rsidR="00CE724B">
        <w:t xml:space="preserve">qui </w:t>
      </w:r>
      <w:r>
        <w:t xml:space="preserve">précise que « </w:t>
      </w:r>
      <w:r w:rsidRPr="001C0963">
        <w:t>l'engagement</w:t>
      </w:r>
      <w:r>
        <w:t xml:space="preserve"> est l'acte juridique par lequel une personne morale (…) crée ou constate à son encontre une obligation de laquelle il résultera une dépense. L'engagement respecte l'objet et les limites de l'autorisation budgétaire. ».</w:t>
      </w:r>
    </w:p>
    <w:p w:rsidR="001C0963" w:rsidRDefault="009C6109" w:rsidP="00846C9E">
      <w:r>
        <w:t>Par principe, l’engagement comptable et l’engagement juridique sont concomitants : l</w:t>
      </w:r>
      <w:r w:rsidR="00D57CE7" w:rsidRPr="00D57CE7">
        <w:t>a comptabilité d’engagement est servie dès qu’un engagement juridique est constaté</w:t>
      </w:r>
      <w:r w:rsidR="00D57CE7">
        <w:t xml:space="preserve">. </w:t>
      </w:r>
      <w:r w:rsidR="00CE724B">
        <w:t xml:space="preserve">Par exemple, </w:t>
      </w:r>
      <w:r w:rsidR="00D57CE7">
        <w:t>un engagement comptable a lieu à la signature d’un devis, car signer un devis engage juridiquement la collectivité.</w:t>
      </w:r>
      <w:r w:rsidR="006C0833">
        <w:t xml:space="preserve"> </w:t>
      </w:r>
      <w:r w:rsidR="001C0963">
        <w:t xml:space="preserve">Puis, </w:t>
      </w:r>
      <w:r w:rsidR="00A15E17">
        <w:t>après</w:t>
      </w:r>
      <w:r w:rsidR="001C0963">
        <w:t xml:space="preserve"> </w:t>
      </w:r>
      <w:r w:rsidR="00991D38">
        <w:t xml:space="preserve">réception </w:t>
      </w:r>
      <w:r w:rsidR="001C0963">
        <w:t>de la facture</w:t>
      </w:r>
      <w:r w:rsidR="00A15E17">
        <w:t xml:space="preserve"> et constatation du service fait</w:t>
      </w:r>
      <w:r w:rsidR="001C0963">
        <w:t xml:space="preserve">, la mise en paiement consomme les crédits </w:t>
      </w:r>
      <w:r w:rsidR="00752E13">
        <w:t xml:space="preserve">budgétaires </w:t>
      </w:r>
      <w:r w:rsidR="001C0963">
        <w:t xml:space="preserve">et </w:t>
      </w:r>
      <w:r w:rsidR="00AE7777">
        <w:t xml:space="preserve">diminue voire </w:t>
      </w:r>
      <w:r w:rsidR="001C0963">
        <w:t>solde l’engagement comptable.</w:t>
      </w:r>
    </w:p>
    <w:p w:rsidR="009C6109" w:rsidRDefault="00752E13" w:rsidP="001A393E">
      <w:pPr>
        <w:pStyle w:val="Titre2"/>
      </w:pPr>
      <w:bookmarkStart w:id="63" w:name="_Toc144807877"/>
      <w:bookmarkStart w:id="64" w:name="_Toc225785290"/>
      <w:r>
        <w:t>Modalités de l’engagement comptable en dépense.</w:t>
      </w:r>
      <w:bookmarkEnd w:id="63"/>
      <w:bookmarkEnd w:id="64"/>
    </w:p>
    <w:p w:rsidR="0003004C" w:rsidRDefault="0003004C" w:rsidP="00846C9E">
      <w:r>
        <w:t xml:space="preserve">La majorité des engagements comptables sont des engagements </w:t>
      </w:r>
      <w:r w:rsidR="009A0C15">
        <w:t>ponctuels</w:t>
      </w:r>
      <w:r>
        <w:t xml:space="preserve"> propres à un acte d’achat indépendant</w:t>
      </w:r>
      <w:r w:rsidR="00752E13">
        <w:t xml:space="preserve"> selon le modèle du devis évoqué ci-dessus</w:t>
      </w:r>
      <w:r>
        <w:t xml:space="preserve">. </w:t>
      </w:r>
    </w:p>
    <w:p w:rsidR="0003004C" w:rsidRDefault="0003004C" w:rsidP="00846C9E">
      <w:r>
        <w:t>Cependant, il peut existe</w:t>
      </w:r>
      <w:r w:rsidR="008F00B0">
        <w:t>r des engagements provisionnels.</w:t>
      </w:r>
      <w:r>
        <w:t xml:space="preserve"> </w:t>
      </w:r>
      <w:r w:rsidR="008F00B0">
        <w:t>E</w:t>
      </w:r>
      <w:r>
        <w:t>n effet, dès le 1er janvier de l’exercice, certaines dépenses peuvent faire l’objet d’une estimation. Il en va ainsi pour les marchés</w:t>
      </w:r>
      <w:r w:rsidR="00CE724B">
        <w:t xml:space="preserve"> ou</w:t>
      </w:r>
      <w:r>
        <w:t xml:space="preserve"> les contrats d’entretien. Il n’est pas alors nécessaire d’attendre le moment du paiement effectif de la dépense pour constater l’engagement puisque l’obligation de payer existe dès le 1er janvier. </w:t>
      </w:r>
      <w:r w:rsidR="009A0C15">
        <w:t>De même, l’engagement comptable peut servir à réserver des crédits, comme c’est le cas pour les dépenses de fluides, dont le montant de consommation exact est inconnu jusqu’à la réception de la facture.</w:t>
      </w:r>
    </w:p>
    <w:p w:rsidR="009A0C15" w:rsidRDefault="009A0C15" w:rsidP="00846C9E">
      <w:r>
        <w:t>Enfin, la</w:t>
      </w:r>
      <w:r w:rsidR="006C0833">
        <w:t xml:space="preserve"> règle </w:t>
      </w:r>
      <w:r>
        <w:t xml:space="preserve">qui consiste à engager spécifiquement la dépense </w:t>
      </w:r>
      <w:r w:rsidR="00752E13">
        <w:t xml:space="preserve">sur un plan comptable </w:t>
      </w:r>
      <w:r w:rsidR="00CE724B">
        <w:t>au plus tard à</w:t>
      </w:r>
      <w:r>
        <w:t xml:space="preserve"> l’apparition de l’engagement juridique peut</w:t>
      </w:r>
      <w:r w:rsidR="006C0833">
        <w:t xml:space="preserve"> connaît</w:t>
      </w:r>
      <w:r>
        <w:t>re</w:t>
      </w:r>
      <w:r w:rsidR="006C0833">
        <w:t xml:space="preserve"> </w:t>
      </w:r>
      <w:r w:rsidR="009C6109">
        <w:t>des exceptions</w:t>
      </w:r>
      <w:r w:rsidR="006C0833">
        <w:t xml:space="preserve">. Il s’agit </w:t>
      </w:r>
      <w:r w:rsidR="009B25F7">
        <w:t xml:space="preserve">principalement </w:t>
      </w:r>
      <w:r w:rsidR="00752E13">
        <w:t>d</w:t>
      </w:r>
      <w:r>
        <w:t>es dépenses de personnel</w:t>
      </w:r>
      <w:r w:rsidR="009B25F7">
        <w:t>.</w:t>
      </w:r>
      <w:r>
        <w:t xml:space="preserve"> </w:t>
      </w:r>
      <w:r w:rsidR="009B25F7">
        <w:t>I</w:t>
      </w:r>
      <w:r w:rsidRPr="009A0C15">
        <w:t>l est admis de ne pas servir la comptabilité d’engagement au fur et à mesure des recrutements et des départs</w:t>
      </w:r>
      <w:r w:rsidR="001C0963">
        <w:t> ; en effet,</w:t>
      </w:r>
      <w:r w:rsidR="006C0833">
        <w:t xml:space="preserve"> les crédits afférents sont fléchés dans un chapitre budgétaire</w:t>
      </w:r>
      <w:r w:rsidR="001C0963">
        <w:t xml:space="preserve"> dédié</w:t>
      </w:r>
      <w:r w:rsidR="006C0833">
        <w:t xml:space="preserve">. </w:t>
      </w:r>
      <w:r w:rsidR="00752E13">
        <w:t xml:space="preserve">L’engagement juridique </w:t>
      </w:r>
      <w:r w:rsidR="009B25F7">
        <w:t>se</w:t>
      </w:r>
      <w:r w:rsidR="00752E13">
        <w:t xml:space="preserve"> traduit de fait lors de la mise en paiement des rémunérations.</w:t>
      </w:r>
      <w:r w:rsidR="009B25F7">
        <w:t xml:space="preserve"> </w:t>
      </w:r>
    </w:p>
    <w:p w:rsidR="00D57CE7" w:rsidRDefault="009B25F7" w:rsidP="001A393E">
      <w:pPr>
        <w:pStyle w:val="Titre2"/>
      </w:pPr>
      <w:bookmarkStart w:id="65" w:name="_Toc144807878"/>
      <w:bookmarkStart w:id="66" w:name="_Toc225785291"/>
      <w:r>
        <w:t>Particularités des subventions à verser</w:t>
      </w:r>
      <w:bookmarkEnd w:id="65"/>
      <w:bookmarkEnd w:id="66"/>
      <w:r>
        <w:t xml:space="preserve"> </w:t>
      </w:r>
    </w:p>
    <w:p w:rsidR="009B25F7" w:rsidRDefault="009B25F7" w:rsidP="00846C9E">
      <w:r>
        <w:t xml:space="preserve">Dans le cadre du versement des subventions, l’engagement juridique est constitué par la délibération dédiée de l’organe délibérant. Toutefois, pour les subventions dont l’attribution n’est pas assortie de conditions d’octroi, l’organe délibérant peut décider d’individualiser au budget les crédits par </w:t>
      </w:r>
      <w:r>
        <w:lastRenderedPageBreak/>
        <w:t>bénéficiaire  et d’établir, dans un état annexé au budget, une liste des bénéficiaires avec, pour chacun d’eux, l’objet et le montant de la subvention.</w:t>
      </w:r>
    </w:p>
    <w:p w:rsidR="009B25F7" w:rsidRDefault="009B25F7" w:rsidP="00846C9E">
      <w:r>
        <w:t>Par conséquent, pour les subventions dont l’attribution n’est pas assortie de condition d’octroi, l’individualisation des organismes bénéficiaires dans le cadre des documents budgétaires vaut décision d’attribution des subventions en cause.</w:t>
      </w:r>
      <w:r w:rsidR="008F00B0">
        <w:t xml:space="preserve"> C’est le cas </w:t>
      </w:r>
      <w:r w:rsidR="008F00B0" w:rsidRPr="00850D7C">
        <w:rPr>
          <w:u w:val="single"/>
        </w:rPr>
        <w:t>à Sotteville-lès-Rouen : l’annexe budgétaire au budget primitif sert de justificatif pour le versement des subventions inférieures à 23 000€</w:t>
      </w:r>
      <w:r w:rsidR="008F00B0">
        <w:rPr>
          <w:rStyle w:val="Appelnotedebasdep"/>
        </w:rPr>
        <w:footnoteReference w:id="17"/>
      </w:r>
      <w:r w:rsidR="008F00B0">
        <w:t>.</w:t>
      </w:r>
    </w:p>
    <w:p w:rsidR="009B25F7" w:rsidRDefault="009B25F7" w:rsidP="001A393E">
      <w:pPr>
        <w:pStyle w:val="Titre2"/>
      </w:pPr>
      <w:bookmarkStart w:id="67" w:name="_Toc144807879"/>
      <w:bookmarkStart w:id="68" w:name="_Toc225785292"/>
      <w:r>
        <w:t>Particularités des autorisations de programme et d’engagement</w:t>
      </w:r>
      <w:bookmarkEnd w:id="67"/>
      <w:bookmarkEnd w:id="68"/>
    </w:p>
    <w:p w:rsidR="009B25F7" w:rsidRDefault="009B25F7" w:rsidP="00846C9E">
      <w:r>
        <w:t>La procédure des AP/CP et AE/CP a pour objet de n’inscrire au budget que les seuls crédits qui concernent l’exercice.</w:t>
      </w:r>
    </w:p>
    <w:p w:rsidR="009B25F7" w:rsidRDefault="009B25F7" w:rsidP="00846C9E">
      <w:r>
        <w:t>L’ouverture d’une autorisation de programme ou d’engagement est votée au moment de l’adoption du budget par l’organe délibérant qui fixe le montant estimatif de la dépense. L’autorisation de programme ou d’engagement représente le montant maximum des crédits pouvant être engagés au titre des dépenses considérées.</w:t>
      </w:r>
    </w:p>
    <w:p w:rsidR="009B25F7" w:rsidRDefault="009B25F7" w:rsidP="00846C9E">
      <w:r>
        <w:t>Pour le mandatement de ces dépenses, la consommation des crédits se réfère en revanche aux crédits de paiement ouverts pour l’exercice.</w:t>
      </w:r>
      <w:r w:rsidR="00A15E17">
        <w:t xml:space="preserve"> </w:t>
      </w:r>
      <w:r>
        <w:t>En effet, l’équilibre du budget s’apprécie par rapport aux seuls crédits de paiement.</w:t>
      </w:r>
    </w:p>
    <w:p w:rsidR="009B25F7" w:rsidRPr="00850D7C" w:rsidRDefault="00CC05C3" w:rsidP="00846C9E">
      <w:r w:rsidRPr="00CE724B">
        <w:rPr>
          <w:u w:val="single"/>
        </w:rPr>
        <w:t>A Sotteville-lès-Rouen</w:t>
      </w:r>
      <w:r w:rsidR="00A15E17" w:rsidRPr="00CE724B">
        <w:rPr>
          <w:u w:val="single"/>
        </w:rPr>
        <w:t xml:space="preserve">, les crédits sont engagés à hauteur de l’estimation </w:t>
      </w:r>
      <w:r w:rsidRPr="00CE724B">
        <w:rPr>
          <w:u w:val="single"/>
        </w:rPr>
        <w:t xml:space="preserve">de </w:t>
      </w:r>
      <w:r w:rsidR="00A15E17" w:rsidRPr="00CE724B">
        <w:rPr>
          <w:u w:val="single"/>
        </w:rPr>
        <w:t>consommation annuelle dès l’engagement juridique (ou dès le 1</w:t>
      </w:r>
      <w:r w:rsidR="00A15E17" w:rsidRPr="00CE724B">
        <w:rPr>
          <w:u w:val="single"/>
          <w:vertAlign w:val="superscript"/>
        </w:rPr>
        <w:t>er</w:t>
      </w:r>
      <w:r w:rsidR="00A15E17" w:rsidRPr="00CE724B">
        <w:rPr>
          <w:u w:val="single"/>
        </w:rPr>
        <w:t xml:space="preserve"> janvier, si l’engagement juridique est antérieur)</w:t>
      </w:r>
      <w:r w:rsidR="00A15E17" w:rsidRPr="00850D7C">
        <w:t xml:space="preserve">. </w:t>
      </w:r>
    </w:p>
    <w:p w:rsidR="00061FAD" w:rsidRDefault="00752E13" w:rsidP="001A393E">
      <w:pPr>
        <w:pStyle w:val="Titre2"/>
      </w:pPr>
      <w:bookmarkStart w:id="69" w:name="_Toc144807880"/>
      <w:bookmarkStart w:id="70" w:name="_Toc225785293"/>
      <w:r>
        <w:t>Spécificités de l</w:t>
      </w:r>
      <w:r w:rsidR="00061FAD">
        <w:t xml:space="preserve">a comptabilité d’engagement des </w:t>
      </w:r>
      <w:r w:rsidR="009D6184">
        <w:t>recettes</w:t>
      </w:r>
      <w:r w:rsidR="00061FAD">
        <w:t xml:space="preserve"> d’investissement</w:t>
      </w:r>
      <w:r w:rsidR="00D57CE7">
        <w:t xml:space="preserve"> à recevoir</w:t>
      </w:r>
      <w:bookmarkEnd w:id="69"/>
      <w:bookmarkEnd w:id="70"/>
    </w:p>
    <w:p w:rsidR="00A42649" w:rsidRDefault="009967C2" w:rsidP="00846C9E">
      <w:r>
        <w:t xml:space="preserve">A Sotteville-lès-Rouen, une comptabilité des engagements est également tenue pour certaines recettes d’investissement. </w:t>
      </w:r>
      <w:r w:rsidR="004626CB">
        <w:t>Dans le silence des textes réglementaire</w:t>
      </w:r>
      <w:r w:rsidR="00AE7777">
        <w:t>s</w:t>
      </w:r>
      <w:r w:rsidR="004626CB">
        <w:t>, afin de préciser ce qui est entendu par « </w:t>
      </w:r>
      <w:r w:rsidR="004626CB" w:rsidRPr="004626CB">
        <w:t>recettes certaines n’ayant pas donné lieu à l’</w:t>
      </w:r>
      <w:r w:rsidR="004626CB">
        <w:t>émission d’un titre de recettes »</w:t>
      </w:r>
      <w:r w:rsidR="009D6184">
        <w:rPr>
          <w:rStyle w:val="Appelnotedebasdep"/>
        </w:rPr>
        <w:footnoteReference w:id="18"/>
      </w:r>
      <w:r w:rsidR="004626CB">
        <w:t xml:space="preserve">, </w:t>
      </w:r>
      <w:r w:rsidR="00790D76" w:rsidRPr="00790D76">
        <w:rPr>
          <w:u w:val="single"/>
        </w:rPr>
        <w:t xml:space="preserve">à Sotteville-lès-Rouen, </w:t>
      </w:r>
      <w:r w:rsidR="00AE7777" w:rsidRPr="00790D76">
        <w:rPr>
          <w:u w:val="single"/>
        </w:rPr>
        <w:t>les</w:t>
      </w:r>
      <w:r w:rsidR="004626CB" w:rsidRPr="00790D76">
        <w:rPr>
          <w:u w:val="single"/>
        </w:rPr>
        <w:t xml:space="preserve"> </w:t>
      </w:r>
      <w:r w:rsidR="009D6184" w:rsidRPr="00790D76">
        <w:rPr>
          <w:u w:val="single"/>
        </w:rPr>
        <w:t>recettes</w:t>
      </w:r>
      <w:r w:rsidR="004626CB" w:rsidRPr="00790D76">
        <w:rPr>
          <w:u w:val="single"/>
        </w:rPr>
        <w:t xml:space="preserve"> d’investissement </w:t>
      </w:r>
      <w:r w:rsidR="00AE7777" w:rsidRPr="00790D76">
        <w:rPr>
          <w:u w:val="single"/>
        </w:rPr>
        <w:t xml:space="preserve">engagées sur un plan comptable sont celles </w:t>
      </w:r>
      <w:r w:rsidR="004626CB" w:rsidRPr="00790D76">
        <w:rPr>
          <w:u w:val="single"/>
        </w:rPr>
        <w:t>pour lesquelles un engagement juridique a été reçu</w:t>
      </w:r>
      <w:r w:rsidR="004626CB">
        <w:t xml:space="preserve">. </w:t>
      </w:r>
      <w:r w:rsidR="00A42649">
        <w:t>Ce cas de figure se rencontre plus particulièrement dans le cadre des demandes de financement d’opération d’investissement portée</w:t>
      </w:r>
      <w:r w:rsidR="00AE7777">
        <w:t>s</w:t>
      </w:r>
      <w:r w:rsidR="00A42649">
        <w:t xml:space="preserve"> par la Ville auprès de tiers financeur. </w:t>
      </w:r>
      <w:r w:rsidR="004626CB">
        <w:t>C’est la notification d</w:t>
      </w:r>
      <w:r w:rsidR="00A42649">
        <w:t>’</w:t>
      </w:r>
      <w:r w:rsidR="004626CB">
        <w:t>u</w:t>
      </w:r>
      <w:r w:rsidR="00A42649">
        <w:t xml:space="preserve">n accord de </w:t>
      </w:r>
      <w:r w:rsidR="004626CB">
        <w:t xml:space="preserve">subvention </w:t>
      </w:r>
      <w:r w:rsidR="00A42649">
        <w:t xml:space="preserve">engageant l’entité tierce </w:t>
      </w:r>
      <w:r w:rsidR="009D6184">
        <w:t xml:space="preserve">qui </w:t>
      </w:r>
      <w:r w:rsidR="00A42649">
        <w:t xml:space="preserve">matérialise l’engagement juridique mutuel et </w:t>
      </w:r>
      <w:r w:rsidR="009D6184">
        <w:t xml:space="preserve">justifie l’engagement comptable de la recette dans la comptabilité </w:t>
      </w:r>
      <w:r w:rsidR="00AE7777">
        <w:t xml:space="preserve">des engagements </w:t>
      </w:r>
      <w:r w:rsidR="009D6184">
        <w:t>de la Ville.</w:t>
      </w:r>
      <w:r w:rsidR="00AE7777">
        <w:t xml:space="preserve"> Ce point est précisé en raison de son impact sur les restes à réaliser et le résultat de l’exercice </w:t>
      </w:r>
      <w:r w:rsidR="00AE7777" w:rsidRPr="00666987">
        <w:t>(</w:t>
      </w:r>
      <w:r w:rsidR="00666987">
        <w:t>cf.</w:t>
      </w:r>
      <w:r w:rsidR="00AE7777" w:rsidRPr="00666987">
        <w:t xml:space="preserve"> </w:t>
      </w:r>
      <w:r w:rsidR="00666987">
        <w:t>fiche dédiée</w:t>
      </w:r>
      <w:r w:rsidR="00AE7777" w:rsidRPr="00666987">
        <w:t>)</w:t>
      </w:r>
      <w:r w:rsidR="00AE7777">
        <w:t>.</w:t>
      </w:r>
    </w:p>
    <w:p w:rsidR="00F86BF0" w:rsidRDefault="00F86BF0" w:rsidP="00846C9E">
      <w:r>
        <w:t xml:space="preserve">S’agissant des accords de subventions relatifs à une opération faisant l’objet d’une autorisation de programme, ces accords sont engagés comptablement que dans la mesure où ils seront intégralement réalisés soit durant l’exercice en cours, soit durant l’exercice suivant. Les accords reçus non engagés sont listés dans les documents budgétaires (budget primitif et compte administratif) dans les annexes </w:t>
      </w:r>
      <w:r>
        <w:lastRenderedPageBreak/>
        <w:t>dédiées.</w:t>
      </w:r>
      <w:r w:rsidR="00B43E83">
        <w:t xml:space="preserve"> Cette démarche particulière évite une surinscrip</w:t>
      </w:r>
      <w:r w:rsidR="00A11D62">
        <w:t>t</w:t>
      </w:r>
      <w:r w:rsidR="00B43E83">
        <w:t xml:space="preserve">ion de sommes en </w:t>
      </w:r>
      <w:r w:rsidR="00A11D62">
        <w:t xml:space="preserve">recettes </w:t>
      </w:r>
      <w:r w:rsidR="00B43E83">
        <w:t>rest</w:t>
      </w:r>
      <w:r w:rsidR="00A11D62">
        <w:t>ant</w:t>
      </w:r>
      <w:r w:rsidR="00B43E83">
        <w:t xml:space="preserve"> à réaliser qui viendrait fausser le résultat de l’</w:t>
      </w:r>
      <w:r w:rsidR="00A11D62">
        <w:t>exercice</w:t>
      </w:r>
      <w:r w:rsidR="00B43E83">
        <w:t xml:space="preserve"> (cf fiche dédiée).</w:t>
      </w:r>
    </w:p>
    <w:p w:rsidR="00061FAD" w:rsidRDefault="00A42649" w:rsidP="00846C9E">
      <w:r>
        <w:t>U</w:t>
      </w:r>
      <w:r w:rsidR="009D6184">
        <w:t xml:space="preserve">n titre de recette est émis à réception d’une </w:t>
      </w:r>
      <w:r>
        <w:t>notification</w:t>
      </w:r>
      <w:r w:rsidR="009D6184">
        <w:t xml:space="preserve"> de versement ou sur constatation de la perception de</w:t>
      </w:r>
      <w:r>
        <w:t>s</w:t>
      </w:r>
      <w:r w:rsidR="009D6184">
        <w:t xml:space="preserve"> sommes</w:t>
      </w:r>
      <w:r>
        <w:t xml:space="preserve"> attendues</w:t>
      </w:r>
      <w:r w:rsidR="009D6184">
        <w:t xml:space="preserve">. </w:t>
      </w:r>
      <w:r w:rsidR="00AE7777">
        <w:t>A l’instar du procédé comptable en dépense, l</w:t>
      </w:r>
      <w:r w:rsidR="009D6184">
        <w:t xml:space="preserve">’émission du titre de recettes </w:t>
      </w:r>
      <w:r w:rsidR="00AE7777">
        <w:t>diminue</w:t>
      </w:r>
      <w:r w:rsidR="009D6184">
        <w:t xml:space="preserve"> voire solde l’engagement comptable</w:t>
      </w:r>
      <w:r w:rsidR="00AE7777">
        <w:t xml:space="preserve"> enregistré</w:t>
      </w:r>
      <w:r w:rsidR="009D6184">
        <w:t>.</w:t>
      </w:r>
      <w:r w:rsidR="00061FAD">
        <w:br w:type="page"/>
      </w:r>
    </w:p>
    <w:p w:rsidR="0043523D" w:rsidRPr="0074583B" w:rsidRDefault="00967A1F" w:rsidP="0074583B">
      <w:pPr>
        <w:pStyle w:val="Titre1"/>
      </w:pPr>
      <w:bookmarkStart w:id="71" w:name="_Toc144372015"/>
      <w:bookmarkStart w:id="72" w:name="_Toc144807527"/>
      <w:bookmarkStart w:id="73" w:name="_Toc144807774"/>
      <w:bookmarkStart w:id="74" w:name="_Toc144807881"/>
      <w:bookmarkStart w:id="75" w:name="_Toc225785294"/>
      <w:r w:rsidRPr="0074583B">
        <w:lastRenderedPageBreak/>
        <w:t>0</w:t>
      </w:r>
      <w:r w:rsidR="00AE7777" w:rsidRPr="0074583B">
        <w:t xml:space="preserve">9 Modalités pratiques d’engagement de la dépense </w:t>
      </w:r>
      <w:r w:rsidR="004632D1" w:rsidRPr="0074583B">
        <w:t>et de constatation du service fait</w:t>
      </w:r>
      <w:bookmarkEnd w:id="71"/>
      <w:bookmarkEnd w:id="72"/>
      <w:bookmarkEnd w:id="73"/>
      <w:bookmarkEnd w:id="74"/>
      <w:bookmarkEnd w:id="75"/>
    </w:p>
    <w:p w:rsidR="001B11C0" w:rsidRDefault="00AE7777" w:rsidP="00967A1F">
      <w:pPr>
        <w:spacing w:after="0"/>
      </w:pPr>
      <w:r>
        <w:t xml:space="preserve">La comptabilité budgétaire s’appuie sur une solution informatique. Celle-ci </w:t>
      </w:r>
      <w:r w:rsidR="001B11C0">
        <w:t>retrace l’organisation administrative des services</w:t>
      </w:r>
      <w:r w:rsidR="009967C2">
        <w:t>,</w:t>
      </w:r>
      <w:r w:rsidR="001B11C0">
        <w:t xml:space="preserve"> permet </w:t>
      </w:r>
      <w:r w:rsidR="00850D7C">
        <w:t>d’établir les maquettes</w:t>
      </w:r>
      <w:r w:rsidR="001B11C0">
        <w:t xml:space="preserve"> budgétaire</w:t>
      </w:r>
      <w:r w:rsidR="00850D7C">
        <w:t>s</w:t>
      </w:r>
      <w:r w:rsidR="009967C2">
        <w:t>, ainsi que de mettre en œuvre et suivre l’exécution du budget</w:t>
      </w:r>
      <w:r w:rsidR="001B11C0">
        <w:t xml:space="preserve">. </w:t>
      </w:r>
    </w:p>
    <w:p w:rsidR="004632D1" w:rsidRDefault="004632D1" w:rsidP="001A393E">
      <w:pPr>
        <w:pStyle w:val="Titre2"/>
      </w:pPr>
      <w:bookmarkStart w:id="76" w:name="_Toc144807882"/>
      <w:bookmarkStart w:id="77" w:name="_Toc225785295"/>
      <w:r>
        <w:t>L’engagement de la dépense</w:t>
      </w:r>
      <w:bookmarkEnd w:id="76"/>
      <w:bookmarkEnd w:id="77"/>
    </w:p>
    <w:p w:rsidR="00991D38" w:rsidRDefault="001B11C0" w:rsidP="00252792">
      <w:pPr>
        <w:spacing w:after="0"/>
      </w:pPr>
      <w:r>
        <w:t xml:space="preserve">Le schéma de l’engagement </w:t>
      </w:r>
      <w:r w:rsidR="001F1D4A">
        <w:t xml:space="preserve">comptable </w:t>
      </w:r>
      <w:r>
        <w:t>des bons de commande est le suivant</w:t>
      </w:r>
      <w:r w:rsidR="004632D1">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91D38" w:rsidTr="00DF51EA">
        <w:trPr>
          <w:trHeight w:val="4602"/>
        </w:trPr>
        <w:tc>
          <w:tcPr>
            <w:tcW w:w="9210" w:type="dxa"/>
          </w:tcPr>
          <w:p w:rsidR="00991D38" w:rsidRDefault="00B71A25" w:rsidP="00B71A25">
            <w:pPr>
              <w:jc w:val="center"/>
            </w:pPr>
            <w:r w:rsidRPr="00B71A25">
              <w:rPr>
                <w:noProof/>
                <w:lang w:eastAsia="fr-FR"/>
              </w:rPr>
              <w:drawing>
                <wp:inline distT="0" distB="0" distL="0" distR="0" wp14:anchorId="293A200D" wp14:editId="11EBE594">
                  <wp:extent cx="5113824" cy="299838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25221" cy="3005063"/>
                          </a:xfrm>
                          <a:prstGeom prst="rect">
                            <a:avLst/>
                          </a:prstGeom>
                        </pic:spPr>
                      </pic:pic>
                    </a:graphicData>
                  </a:graphic>
                </wp:inline>
              </w:drawing>
            </w:r>
          </w:p>
        </w:tc>
      </w:tr>
      <w:tr w:rsidR="00991D38" w:rsidTr="00DF51EA">
        <w:tc>
          <w:tcPr>
            <w:tcW w:w="9210" w:type="dxa"/>
          </w:tcPr>
          <w:p w:rsidR="00991D38" w:rsidRDefault="00991D38" w:rsidP="004A4753">
            <w:pPr>
              <w:jc w:val="center"/>
            </w:pPr>
            <w:r w:rsidRPr="00967A1F">
              <w:rPr>
                <w:i/>
              </w:rPr>
              <w:t xml:space="preserve">« BC » </w:t>
            </w:r>
            <w:r>
              <w:rPr>
                <w:i/>
              </w:rPr>
              <w:t xml:space="preserve"> </w:t>
            </w:r>
            <w:r w:rsidRPr="00967A1F">
              <w:rPr>
                <w:i/>
              </w:rPr>
              <w:t>désigne le bon de commande</w:t>
            </w:r>
          </w:p>
        </w:tc>
      </w:tr>
    </w:tbl>
    <w:p w:rsidR="008A43C4" w:rsidRDefault="008A43C4" w:rsidP="004A4753">
      <w:pPr>
        <w:spacing w:before="240"/>
      </w:pPr>
      <w:r>
        <w:t>La procédure de saisie des bons de commande dématérialisé</w:t>
      </w:r>
      <w:r w:rsidR="00E22741">
        <w:t>s</w:t>
      </w:r>
      <w:r>
        <w:t xml:space="preserve"> de la solution informatique permet l’automatisation de l’engagement comptable du bon de commande à l’issue de son parcours de visa et de signature.</w:t>
      </w:r>
    </w:p>
    <w:p w:rsidR="00B83E85" w:rsidRDefault="003826E6" w:rsidP="00846C9E">
      <w:r>
        <w:t>Dans le cadre de dépenses liées à un marché public, la déci</w:t>
      </w:r>
      <w:r w:rsidR="00991D38">
        <w:t>sion d’attribution relève soit de la</w:t>
      </w:r>
      <w:r>
        <w:t xml:space="preserve"> Commission d’Appel d’Offre (cas des marchés formalisés), soit de la Maire</w:t>
      </w:r>
      <w:r>
        <w:rPr>
          <w:rStyle w:val="Appelnotedebasdep"/>
        </w:rPr>
        <w:footnoteReference w:id="19"/>
      </w:r>
      <w:r>
        <w:t>, dans le cas des</w:t>
      </w:r>
      <w:r w:rsidR="00B83E85">
        <w:t xml:space="preserve"> marchés à publicité adaptée. La signature de l’acte d’engagement crée l’engagement juridique de la Ville.</w:t>
      </w:r>
      <w:r w:rsidR="008A43C4">
        <w:t xml:space="preserve"> </w:t>
      </w:r>
      <w:r w:rsidR="00B83E85">
        <w:t xml:space="preserve">L’engagement comptable des marchés publics </w:t>
      </w:r>
      <w:r w:rsidR="008A43C4">
        <w:t>est</w:t>
      </w:r>
      <w:r w:rsidR="00B83E85">
        <w:t xml:space="preserve"> </w:t>
      </w:r>
      <w:r w:rsidR="008A43C4">
        <w:t xml:space="preserve">ensuite </w:t>
      </w:r>
      <w:r w:rsidR="00B83E85">
        <w:t xml:space="preserve">saisi par les </w:t>
      </w:r>
      <w:r w:rsidR="008A43C4">
        <w:t>services utilisateurs du marché</w:t>
      </w:r>
      <w:r w:rsidR="00B83E85">
        <w:t>.</w:t>
      </w:r>
    </w:p>
    <w:p w:rsidR="004632D1" w:rsidRPr="0074583B" w:rsidRDefault="004632D1" w:rsidP="001A393E">
      <w:pPr>
        <w:pStyle w:val="Titre2"/>
      </w:pPr>
      <w:bookmarkStart w:id="78" w:name="_Toc144807883"/>
      <w:bookmarkStart w:id="79" w:name="_Toc225785296"/>
      <w:r w:rsidRPr="0074583B">
        <w:t>La constatation du service fait</w:t>
      </w:r>
      <w:bookmarkEnd w:id="78"/>
      <w:bookmarkEnd w:id="79"/>
    </w:p>
    <w:p w:rsidR="001B11C0" w:rsidRDefault="007F43CC" w:rsidP="00846C9E">
      <w:r>
        <w:t>Les</w:t>
      </w:r>
      <w:r w:rsidR="004632D1">
        <w:t xml:space="preserve"> service</w:t>
      </w:r>
      <w:r>
        <w:t>s</w:t>
      </w:r>
      <w:r w:rsidR="004632D1">
        <w:t xml:space="preserve"> </w:t>
      </w:r>
      <w:r w:rsidR="008A43C4">
        <w:t xml:space="preserve">utilisateurs </w:t>
      </w:r>
      <w:r>
        <w:t>sont</w:t>
      </w:r>
      <w:r w:rsidR="004632D1">
        <w:t xml:space="preserve"> destinataire</w:t>
      </w:r>
      <w:r>
        <w:t>s</w:t>
      </w:r>
      <w:r w:rsidR="004632D1">
        <w:t xml:space="preserve"> des factures arrivant sur </w:t>
      </w:r>
      <w:r w:rsidR="00991D38">
        <w:t>le plateforme gouvernementale dédiée aux factures dématérialisées appelée « </w:t>
      </w:r>
      <w:r w:rsidR="004632D1">
        <w:t>Chorus Pro</w:t>
      </w:r>
      <w:r w:rsidR="00991D38">
        <w:t> »</w:t>
      </w:r>
      <w:r w:rsidR="0054343B">
        <w:t xml:space="preserve">. Le service </w:t>
      </w:r>
      <w:r w:rsidR="004632D1">
        <w:t xml:space="preserve">a </w:t>
      </w:r>
      <w:r w:rsidR="0054343B">
        <w:t xml:space="preserve">la </w:t>
      </w:r>
      <w:r w:rsidR="004632D1">
        <w:t xml:space="preserve">charge de vérifier la bonne liquidation de celle-ci ainsi que de constater la réalité du service fait. </w:t>
      </w:r>
      <w:r w:rsidR="00425B95" w:rsidRPr="00425B95">
        <w:t xml:space="preserve">La constatation du service fait se matérialise par </w:t>
      </w:r>
      <w:r>
        <w:t xml:space="preserve">un rapprochement entre la facture et </w:t>
      </w:r>
      <w:r w:rsidR="00425B95" w:rsidRPr="00425B95">
        <w:t xml:space="preserve">la comptabilité des dépenses engagées </w:t>
      </w:r>
      <w:r>
        <w:t xml:space="preserve">puis par la saisie </w:t>
      </w:r>
      <w:r w:rsidR="00425B95" w:rsidRPr="00425B95">
        <w:t>de la date d’exécution de la prestation.</w:t>
      </w:r>
      <w:r w:rsidR="00967A1F">
        <w:t xml:space="preserve"> </w:t>
      </w:r>
      <w:r w:rsidR="0054343B">
        <w:t>Une fois validée par le service utilisateur, la</w:t>
      </w:r>
      <w:r w:rsidR="004632D1">
        <w:t xml:space="preserve"> facture </w:t>
      </w:r>
      <w:r w:rsidR="0054343B">
        <w:t>est mandatée par la direction des finances.</w:t>
      </w:r>
      <w:r w:rsidR="001B11C0">
        <w:br w:type="page"/>
      </w:r>
    </w:p>
    <w:p w:rsidR="00681D3B" w:rsidRPr="00E22741" w:rsidRDefault="001B11C0" w:rsidP="0074583B">
      <w:pPr>
        <w:pStyle w:val="Titre1"/>
      </w:pPr>
      <w:bookmarkStart w:id="80" w:name="_Toc144807528"/>
      <w:bookmarkStart w:id="81" w:name="_Toc144807775"/>
      <w:bookmarkStart w:id="82" w:name="_Toc144807884"/>
      <w:bookmarkStart w:id="83" w:name="_Toc144372016"/>
      <w:bookmarkStart w:id="84" w:name="_Toc225785297"/>
      <w:r w:rsidRPr="00E22741">
        <w:lastRenderedPageBreak/>
        <w:t>10 Clôture budgétaire : définitions et calendrier</w:t>
      </w:r>
      <w:bookmarkEnd w:id="80"/>
      <w:bookmarkEnd w:id="81"/>
      <w:bookmarkEnd w:id="82"/>
      <w:bookmarkEnd w:id="84"/>
      <w:r w:rsidRPr="00E22741">
        <w:t xml:space="preserve"> </w:t>
      </w:r>
      <w:bookmarkEnd w:id="83"/>
    </w:p>
    <w:p w:rsidR="009E5995" w:rsidRDefault="00425B95" w:rsidP="00846C9E">
      <w:r>
        <w:t xml:space="preserve">Conformément au principe d’annualité budgétaire, il </w:t>
      </w:r>
      <w:r w:rsidRPr="00425B95">
        <w:t>y a lieu d’arrêter les inscriptions de crédits au 31 décembre</w:t>
      </w:r>
      <w:r>
        <w:t xml:space="preserve"> </w:t>
      </w:r>
      <w:r w:rsidRPr="00425B95">
        <w:t xml:space="preserve">et ce pour chacune des deux sections. </w:t>
      </w:r>
    </w:p>
    <w:p w:rsidR="00681D3B" w:rsidRDefault="00386CC3" w:rsidP="00846C9E">
      <w:r>
        <w:t xml:space="preserve">Cette opération nécessitant </w:t>
      </w:r>
      <w:r w:rsidR="009E5995">
        <w:t>beaucoup de préparation</w:t>
      </w:r>
      <w:r>
        <w:t>, il est fait usage de l</w:t>
      </w:r>
      <w:r w:rsidR="00425B95" w:rsidRPr="00425B95">
        <w:t xml:space="preserve">a </w:t>
      </w:r>
      <w:r w:rsidR="00425B95" w:rsidRPr="00AF58D2">
        <w:rPr>
          <w:b/>
        </w:rPr>
        <w:t>journée complémentaire</w:t>
      </w:r>
      <w:r w:rsidR="00AF58D2">
        <w:rPr>
          <w:rStyle w:val="Appelnotedebasdep"/>
          <w:b/>
        </w:rPr>
        <w:footnoteReference w:id="20"/>
      </w:r>
      <w:r>
        <w:t xml:space="preserve">, qui </w:t>
      </w:r>
      <w:r w:rsidR="00425B95" w:rsidRPr="00425B95">
        <w:t xml:space="preserve">prolonge </w:t>
      </w:r>
      <w:r w:rsidR="00AF58D2">
        <w:t xml:space="preserve">fictivement la journée comptable </w:t>
      </w:r>
      <w:r w:rsidR="009967C2">
        <w:t>du 31 décembre</w:t>
      </w:r>
      <w:r>
        <w:t xml:space="preserve"> jusqu’au 31 janvier de l’année suivante.</w:t>
      </w:r>
      <w:r w:rsidR="00AF58D2">
        <w:t xml:space="preserve"> La journée complémentaire permet de suivre : </w:t>
      </w:r>
    </w:p>
    <w:p w:rsidR="00AF58D2" w:rsidRDefault="00386CC3" w:rsidP="00846C9E">
      <w:pPr>
        <w:pStyle w:val="Paragraphedeliste"/>
        <w:numPr>
          <w:ilvl w:val="1"/>
          <w:numId w:val="5"/>
        </w:numPr>
      </w:pPr>
      <w:r>
        <w:t>l’exécution des opérations intéressant la section de fonctionnement, afin de permettre l’émission des mandats correspondant à des services faits au cours de l’exercice considéré et des titres de recettes correspondants à des droits acquis à l’entité au cours dudit exercice ;</w:t>
      </w:r>
      <w:r w:rsidR="00AF58D2">
        <w:t xml:space="preserve"> </w:t>
      </w:r>
    </w:p>
    <w:p w:rsidR="00386CC3" w:rsidRDefault="00386CC3" w:rsidP="00846C9E">
      <w:pPr>
        <w:pStyle w:val="Paragraphedeliste"/>
        <w:numPr>
          <w:ilvl w:val="1"/>
          <w:numId w:val="5"/>
        </w:numPr>
      </w:pPr>
      <w:r>
        <w:t>l’exécution des opérations d’ordre de chacune des deux sections.</w:t>
      </w:r>
    </w:p>
    <w:p w:rsidR="00386CC3" w:rsidRDefault="00386CC3" w:rsidP="00846C9E">
      <w:r>
        <w:t>E</w:t>
      </w:r>
      <w:r w:rsidR="00AF58D2">
        <w:t>n revanche, e</w:t>
      </w:r>
      <w:r>
        <w:t>lle ne s’applique pas aux crédits de la section d’investissement</w:t>
      </w:r>
      <w:r w:rsidR="009967C2">
        <w:t>.</w:t>
      </w:r>
      <w:r>
        <w:t xml:space="preserve"> </w:t>
      </w:r>
    </w:p>
    <w:p w:rsidR="00A21B9D" w:rsidRDefault="00790D76" w:rsidP="001A393E">
      <w:pPr>
        <w:pStyle w:val="Titre2"/>
      </w:pPr>
      <w:bookmarkStart w:id="85" w:name="_Toc144807885"/>
      <w:bookmarkStart w:id="86" w:name="_Toc225785298"/>
      <w:r>
        <w:t>Le r</w:t>
      </w:r>
      <w:r w:rsidR="00A21B9D">
        <w:t>attachement des charges et des produits de l’exercice</w:t>
      </w:r>
      <w:bookmarkEnd w:id="85"/>
      <w:bookmarkEnd w:id="86"/>
    </w:p>
    <w:p w:rsidR="00A21B9D" w:rsidRDefault="00AF58D2" w:rsidP="00846C9E">
      <w:r>
        <w:t xml:space="preserve">Afin d’arrêter précisément les comptes de l’exercice en date du 31 décembre, il convient de procéder au rattachement des charges et des produits. </w:t>
      </w:r>
    </w:p>
    <w:p w:rsidR="00F659C5" w:rsidRDefault="00F659C5" w:rsidP="00846C9E">
      <w:r>
        <w:t xml:space="preserve">Le </w:t>
      </w:r>
      <w:r w:rsidRPr="00F659C5">
        <w:rPr>
          <w:b/>
        </w:rPr>
        <w:t>rattachement</w:t>
      </w:r>
      <w:r>
        <w:t xml:space="preserve"> des charges et des produits vise à faire apparaître dans le résultat d’un exercice donné toutes les charges et tous les produits qui s’y rapportent. Les dépenses engagées, pour lesquelles le service a été fait sans que la facture ne soit parvenue</w:t>
      </w:r>
      <w:r w:rsidR="00991D38">
        <w:t xml:space="preserve"> au plus tard le 31 décembre</w:t>
      </w:r>
      <w:r>
        <w:t>, font l’objet d’un rattachement à l’exercice. Sont aussi rattachés les produits correspondants à des droits acquis au cours de l’exercice et qui n’ont pu être comptabilisés</w:t>
      </w:r>
      <w:r w:rsidR="00991D38">
        <w:t xml:space="preserve"> au plus tard le 31 décembre</w:t>
      </w:r>
      <w:r>
        <w:t>.</w:t>
      </w:r>
      <w:r w:rsidRPr="00F659C5">
        <w:t xml:space="preserve"> </w:t>
      </w:r>
      <w:r>
        <w:t>Cette procédure</w:t>
      </w:r>
      <w:r w:rsidRPr="00F659C5">
        <w:t xml:space="preserve"> </w:t>
      </w:r>
      <w:r>
        <w:t>concerne uniquement la section de fonctionnement.</w:t>
      </w:r>
    </w:p>
    <w:p w:rsidR="00AF58D2" w:rsidRDefault="00AF58D2" w:rsidP="00846C9E">
      <w:r>
        <w:t>Ces dépenses</w:t>
      </w:r>
      <w:r w:rsidR="00A21B9D">
        <w:t xml:space="preserve"> et ces </w:t>
      </w:r>
      <w:r w:rsidR="00CD2332">
        <w:t>recettes,</w:t>
      </w:r>
      <w:r>
        <w:t xml:space="preserve"> récapitulées sur un état détaillé</w:t>
      </w:r>
      <w:r w:rsidR="00CD2332">
        <w:t>,</w:t>
      </w:r>
      <w:r>
        <w:t xml:space="preserve"> donnent lieu à l’émission de mandats </w:t>
      </w:r>
      <w:r w:rsidR="00A21B9D">
        <w:t xml:space="preserve">et de titres dits </w:t>
      </w:r>
      <w:r>
        <w:t>de rattachement</w:t>
      </w:r>
      <w:r w:rsidR="00710BDE">
        <w:t>, sans qu’il y ait d’encaissement ou de décaissement : il s’agit d’opérations dites « semi-budgétaires » (cf par ailleurs)</w:t>
      </w:r>
      <w:r>
        <w:t>.</w:t>
      </w:r>
    </w:p>
    <w:p w:rsidR="00AF58D2" w:rsidRDefault="00790D76" w:rsidP="001A393E">
      <w:pPr>
        <w:pStyle w:val="Titre2"/>
      </w:pPr>
      <w:bookmarkStart w:id="87" w:name="_Toc144807886"/>
      <w:bookmarkStart w:id="88" w:name="_Toc225785299"/>
      <w:r>
        <w:t>Les r</w:t>
      </w:r>
      <w:r w:rsidR="00A21B9D">
        <w:t>estes à réaliser (RAR)</w:t>
      </w:r>
      <w:bookmarkEnd w:id="87"/>
      <w:bookmarkEnd w:id="88"/>
    </w:p>
    <w:p w:rsidR="00A21B9D" w:rsidRDefault="00A21B9D" w:rsidP="00846C9E">
      <w:r>
        <w:t xml:space="preserve">Les </w:t>
      </w:r>
      <w:r w:rsidRPr="00A21B9D">
        <w:rPr>
          <w:b/>
        </w:rPr>
        <w:t>restes à réaliser</w:t>
      </w:r>
      <w:r w:rsidR="005C57D5">
        <w:rPr>
          <w:b/>
        </w:rPr>
        <w:t xml:space="preserve"> (RAR)</w:t>
      </w:r>
      <w:r>
        <w:t xml:space="preserve"> correspondent </w:t>
      </w:r>
      <w:r w:rsidRPr="00A21B9D">
        <w:t>aux dépenses engagées non mandatées et aux recettes certaines n’ayant pas donné lieu à l’émission d’un titre de recette au 31 décembre de l’exercice N telles qu’elles ressortent de la comptabilité des engagements.</w:t>
      </w:r>
      <w:r>
        <w:t xml:space="preserve"> </w:t>
      </w:r>
    </w:p>
    <w:p w:rsidR="00460C58" w:rsidRDefault="00A21B9D" w:rsidP="00846C9E">
      <w:r w:rsidRPr="00666987">
        <w:rPr>
          <w:u w:val="single"/>
        </w:rPr>
        <w:t>A Sotteville-lès-Rouen, seuls les crédits d’investissement figurent parmi les restes à réaliser.</w:t>
      </w:r>
      <w:r>
        <w:t xml:space="preserve"> En effet, les restes à réaliser ont impact </w:t>
      </w:r>
      <w:r w:rsidR="00460C58">
        <w:t xml:space="preserve">significatif </w:t>
      </w:r>
      <w:r>
        <w:t xml:space="preserve">sur </w:t>
      </w:r>
      <w:r w:rsidR="005C57D5">
        <w:t>l’affectation du</w:t>
      </w:r>
      <w:r w:rsidR="00460C58">
        <w:t xml:space="preserve"> </w:t>
      </w:r>
      <w:r>
        <w:t>résultat</w:t>
      </w:r>
      <w:r w:rsidR="00460C58">
        <w:t xml:space="preserve"> de l’exercice </w:t>
      </w:r>
      <w:r w:rsidR="00460C58" w:rsidRPr="00666987">
        <w:t>(</w:t>
      </w:r>
      <w:r w:rsidR="00666987" w:rsidRPr="00666987">
        <w:t>cf. fiche dédiée</w:t>
      </w:r>
      <w:r w:rsidR="00460C58" w:rsidRPr="00666987">
        <w:t>)</w:t>
      </w:r>
      <w:r w:rsidR="00A7460C" w:rsidRPr="00666987">
        <w:t>.</w:t>
      </w:r>
    </w:p>
    <w:p w:rsidR="00460C58" w:rsidRDefault="009E5995" w:rsidP="001A393E">
      <w:pPr>
        <w:pStyle w:val="Titre2"/>
      </w:pPr>
      <w:bookmarkStart w:id="89" w:name="_Toc144807887"/>
      <w:bookmarkStart w:id="90" w:name="_Toc225785300"/>
      <w:r>
        <w:t>Calendrier d’arrêt des comptes</w:t>
      </w:r>
      <w:bookmarkEnd w:id="89"/>
      <w:bookmarkEnd w:id="90"/>
    </w:p>
    <w:p w:rsidR="00A322A8" w:rsidRDefault="00A322A8" w:rsidP="00846C9E">
      <w:r>
        <w:t xml:space="preserve">Dans le courant du mois de novembre, sur la base d’un document établi par le service de gestion comptable, </w:t>
      </w:r>
      <w:r w:rsidR="009E5995">
        <w:t xml:space="preserve">une note </w:t>
      </w:r>
      <w:r>
        <w:t xml:space="preserve">relative aux opérations de fin d’exercice est adressée par la direction des finances </w:t>
      </w:r>
      <w:r w:rsidR="009E5995">
        <w:t xml:space="preserve">aux services </w:t>
      </w:r>
      <w:r>
        <w:t xml:space="preserve">de la collectivité. Elle indique le calendrier visant à affiner les projections relatives aux </w:t>
      </w:r>
      <w:r>
        <w:lastRenderedPageBreak/>
        <w:t>dépenses et recettes de fonctionnement dont le service fait interviendra avant le 31 décembre de l’année, afin de préparer les derniers mandatements et les rattachements à venir.</w:t>
      </w:r>
    </w:p>
    <w:p w:rsidR="00A322A8" w:rsidRDefault="00A322A8" w:rsidP="00846C9E">
      <w:r>
        <w:t xml:space="preserve">Les services ne sont plus </w:t>
      </w:r>
      <w:r w:rsidR="000034DD">
        <w:t>en</w:t>
      </w:r>
      <w:r>
        <w:t xml:space="preserve"> mesure d’engager de nouvelles sommes pour l’exercice en cours à compter du premier lundi de décembre, ce temps est consacré à un travail de fiabilisation de la date de réalisation des engagements comptables restant non soldés, afin de déterminer ceux pour lesquels le service fait interviendra avant le 31/12 et ceux pour lesquels le service fait interviendra après (c’est-à-dire ceux qui relèveront de l’exercice suivant). Des réunions sont organisées avec les principaux services concernés (services techniques et restauration), et les régisseurs sont également rencontrés durant le mois de décembre afin de les aider à arrêter leur comptabilité au 31/12.</w:t>
      </w:r>
    </w:p>
    <w:p w:rsidR="00A21B9D" w:rsidRDefault="00A322A8" w:rsidP="00846C9E">
      <w:r>
        <w:t>Les factures continuant d’arriver jusqu’au 31 décembre inclus, celles de fonctionnement sont mandatées durant la journée complémentaire. Les engagements non soldés restant dont le service a été fait avant le 31/12</w:t>
      </w:r>
      <w:r w:rsidR="001D03BD">
        <w:t xml:space="preserve"> mais dont la facture n’est pas parvenue début janvier</w:t>
      </w:r>
      <w:r>
        <w:t xml:space="preserve"> font l’objet d’un rattachement courant janvier.</w:t>
      </w:r>
    </w:p>
    <w:p w:rsidR="00386CC3" w:rsidRDefault="00386CC3" w:rsidP="00846C9E">
      <w:r>
        <w:t xml:space="preserve">Les crédits affectés aux dépenses de chaque exercice ne peuvent être employés pour </w:t>
      </w:r>
      <w:r w:rsidR="005C57D5">
        <w:t>un exercice ultérieur. Aussi l</w:t>
      </w:r>
      <w:r>
        <w:t xml:space="preserve">es dépenses </w:t>
      </w:r>
      <w:r w:rsidR="001D03BD">
        <w:t xml:space="preserve">d’investissement </w:t>
      </w:r>
      <w:r>
        <w:t xml:space="preserve">engagées </w:t>
      </w:r>
      <w:r w:rsidR="001D03BD">
        <w:t xml:space="preserve">mais </w:t>
      </w:r>
      <w:r>
        <w:t xml:space="preserve">non mandatées </w:t>
      </w:r>
      <w:r w:rsidR="001D03BD">
        <w:t xml:space="preserve">avant la fin décembre </w:t>
      </w:r>
      <w:r>
        <w:t>sont reporté</w:t>
      </w:r>
      <w:r w:rsidR="001D03BD">
        <w:t>e</w:t>
      </w:r>
      <w:r>
        <w:t>s au budget de l’exercice N+1. Elles peuvent être mandatées dans la limite des restes à réaliser de l’exercice N.</w:t>
      </w:r>
    </w:p>
    <w:p w:rsidR="00763F51" w:rsidRDefault="00763F51" w:rsidP="00846C9E">
      <w:r>
        <w:br w:type="page"/>
      </w:r>
    </w:p>
    <w:p w:rsidR="001D03BD" w:rsidRDefault="001D03BD" w:rsidP="000558D3">
      <w:pPr>
        <w:spacing w:after="0"/>
      </w:pPr>
      <w:r>
        <w:lastRenderedPageBreak/>
        <w:t xml:space="preserve">Les écritures concernées </w:t>
      </w:r>
      <w:r w:rsidR="00763F51">
        <w:t>suivent</w:t>
      </w:r>
      <w:r>
        <w:t xml:space="preserve"> les schémas suivant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6"/>
        <w:gridCol w:w="2794"/>
      </w:tblGrid>
      <w:tr w:rsidR="00762303" w:rsidTr="000558D3">
        <w:tc>
          <w:tcPr>
            <w:tcW w:w="6276" w:type="dxa"/>
            <w:tcBorders>
              <w:top w:val="single" w:sz="4" w:space="0" w:color="auto"/>
              <w:bottom w:val="single" w:sz="4" w:space="0" w:color="auto"/>
            </w:tcBorders>
          </w:tcPr>
          <w:p w:rsidR="00762303" w:rsidRDefault="000558D3" w:rsidP="000558D3">
            <w:pPr>
              <w:jc w:val="center"/>
            </w:pPr>
            <w:r>
              <w:rPr>
                <w:noProof/>
                <w:lang w:eastAsia="fr-FR"/>
              </w:rPr>
              <w:drawing>
                <wp:inline distT="0" distB="0" distL="0" distR="0" wp14:anchorId="2BDD44A7" wp14:editId="629F79AE">
                  <wp:extent cx="3837600" cy="2880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837600" cy="2880000"/>
                          </a:xfrm>
                          <a:prstGeom prst="rect">
                            <a:avLst/>
                          </a:prstGeom>
                        </pic:spPr>
                      </pic:pic>
                    </a:graphicData>
                  </a:graphic>
                </wp:inline>
              </w:drawing>
            </w:r>
          </w:p>
        </w:tc>
        <w:tc>
          <w:tcPr>
            <w:tcW w:w="3010" w:type="dxa"/>
            <w:tcBorders>
              <w:top w:val="single" w:sz="4" w:space="0" w:color="auto"/>
              <w:bottom w:val="single" w:sz="4" w:space="0" w:color="auto"/>
            </w:tcBorders>
          </w:tcPr>
          <w:p w:rsidR="00762303" w:rsidRPr="00763F51" w:rsidRDefault="00762303" w:rsidP="000558D3">
            <w:r w:rsidRPr="006C501F">
              <w:rPr>
                <w:u w:val="single"/>
              </w:rPr>
              <w:t>Schéma standard</w:t>
            </w:r>
            <w:r w:rsidRPr="00763F51">
              <w:t xml:space="preserve"> : le service </w:t>
            </w:r>
            <w:r>
              <w:t xml:space="preserve">est </w:t>
            </w:r>
            <w:r w:rsidRPr="00763F51">
              <w:t>fait</w:t>
            </w:r>
            <w:r w:rsidR="006C501F">
              <w:t>,</w:t>
            </w:r>
            <w:r w:rsidRPr="00763F51">
              <w:t xml:space="preserve"> et la facture </w:t>
            </w:r>
            <w:r>
              <w:t>est reçue</w:t>
            </w:r>
            <w:r w:rsidRPr="00763F51">
              <w:t xml:space="preserve"> avant le 31/12/N, la comptabilité de l’exercice N est mouvementée pour représenter l’achat qui a eu lieu en N</w:t>
            </w:r>
          </w:p>
        </w:tc>
      </w:tr>
      <w:tr w:rsidR="00762303" w:rsidTr="000558D3">
        <w:tc>
          <w:tcPr>
            <w:tcW w:w="6276" w:type="dxa"/>
            <w:tcBorders>
              <w:top w:val="single" w:sz="4" w:space="0" w:color="auto"/>
              <w:bottom w:val="single" w:sz="4" w:space="0" w:color="auto"/>
            </w:tcBorders>
          </w:tcPr>
          <w:p w:rsidR="00762303" w:rsidRDefault="00762303" w:rsidP="000558D3">
            <w:pPr>
              <w:jc w:val="center"/>
            </w:pPr>
            <w:r>
              <w:rPr>
                <w:noProof/>
                <w:lang w:eastAsia="fr-FR"/>
              </w:rPr>
              <w:drawing>
                <wp:inline distT="0" distB="0" distL="0" distR="0" wp14:anchorId="15AFACBC" wp14:editId="0F8258DB">
                  <wp:extent cx="3844800" cy="2880000"/>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44800" cy="2880000"/>
                          </a:xfrm>
                          <a:prstGeom prst="rect">
                            <a:avLst/>
                          </a:prstGeom>
                        </pic:spPr>
                      </pic:pic>
                    </a:graphicData>
                  </a:graphic>
                </wp:inline>
              </w:drawing>
            </w:r>
          </w:p>
        </w:tc>
        <w:tc>
          <w:tcPr>
            <w:tcW w:w="3010" w:type="dxa"/>
            <w:tcBorders>
              <w:top w:val="single" w:sz="4" w:space="0" w:color="auto"/>
              <w:bottom w:val="single" w:sz="4" w:space="0" w:color="auto"/>
            </w:tcBorders>
          </w:tcPr>
          <w:p w:rsidR="00762303" w:rsidRPr="00393763" w:rsidRDefault="00762303" w:rsidP="000558D3">
            <w:r w:rsidRPr="006C501F">
              <w:rPr>
                <w:u w:val="single"/>
              </w:rPr>
              <w:t>Rattachement des charges et produits de fonctionnement :</w:t>
            </w:r>
            <w:r w:rsidRPr="00393763">
              <w:t xml:space="preserve"> le service a eu lieu</w:t>
            </w:r>
            <w:r>
              <w:t xml:space="preserve"> mais la facture n’est pas parvenue ;</w:t>
            </w:r>
            <w:r w:rsidRPr="00393763">
              <w:t xml:space="preserve"> la dépense </w:t>
            </w:r>
            <w:r>
              <w:t xml:space="preserve">est rattachée et </w:t>
            </w:r>
            <w:r w:rsidRPr="00393763">
              <w:t xml:space="preserve">entre dans la comptabilité de la ville, cependant le mandatement </w:t>
            </w:r>
            <w:r>
              <w:t xml:space="preserve">(la mise en paiement/décaissement au profit du tiers) </w:t>
            </w:r>
            <w:r w:rsidRPr="00393763">
              <w:t>n’aura lieu qu’à la réception de la facture</w:t>
            </w:r>
            <w:r>
              <w:t>,</w:t>
            </w:r>
            <w:r w:rsidRPr="00393763">
              <w:t xml:space="preserve"> en N+1 : il n’aura pas d’impact sur la comptabilité de l’exercice N+1</w:t>
            </w:r>
          </w:p>
        </w:tc>
      </w:tr>
      <w:tr w:rsidR="00762303" w:rsidTr="000558D3">
        <w:tc>
          <w:tcPr>
            <w:tcW w:w="6276" w:type="dxa"/>
          </w:tcPr>
          <w:p w:rsidR="00762303" w:rsidRDefault="000558D3" w:rsidP="000558D3">
            <w:pPr>
              <w:jc w:val="center"/>
            </w:pPr>
            <w:r>
              <w:rPr>
                <w:noProof/>
                <w:lang w:eastAsia="fr-FR"/>
              </w:rPr>
              <w:drawing>
                <wp:inline distT="0" distB="0" distL="0" distR="0" wp14:anchorId="0EA65AF9" wp14:editId="368BE015">
                  <wp:extent cx="3848400" cy="2880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848400" cy="2880000"/>
                          </a:xfrm>
                          <a:prstGeom prst="rect">
                            <a:avLst/>
                          </a:prstGeom>
                        </pic:spPr>
                      </pic:pic>
                    </a:graphicData>
                  </a:graphic>
                </wp:inline>
              </w:drawing>
            </w:r>
          </w:p>
        </w:tc>
        <w:tc>
          <w:tcPr>
            <w:tcW w:w="3010" w:type="dxa"/>
          </w:tcPr>
          <w:p w:rsidR="00762303" w:rsidRPr="00393763" w:rsidRDefault="00762303" w:rsidP="000558D3">
            <w:r w:rsidRPr="006C501F">
              <w:rPr>
                <w:u w:val="single"/>
              </w:rPr>
              <w:t>Restes à réaliser et report de crédits en investissement :</w:t>
            </w:r>
            <w:r w:rsidRPr="00393763">
              <w:t xml:space="preserve"> l’engagement juridique a eu lieu avant le 31/12/N, d’où la création d’un engagement comptable, mais le service </w:t>
            </w:r>
            <w:r>
              <w:t xml:space="preserve">n’est pas fait et </w:t>
            </w:r>
            <w:r w:rsidRPr="00393763">
              <w:t xml:space="preserve">reste à réaliser ; les crédits </w:t>
            </w:r>
            <w:r>
              <w:t xml:space="preserve">budgétaires </w:t>
            </w:r>
            <w:r w:rsidRPr="00393763">
              <w:t xml:space="preserve">sont reportés sur l’exercice budgétaire suivant et seront consommés une fois le service fait et la facture reçue </w:t>
            </w:r>
          </w:p>
        </w:tc>
      </w:tr>
    </w:tbl>
    <w:p w:rsidR="005C57D5" w:rsidRDefault="005C57D5" w:rsidP="0074583B">
      <w:pPr>
        <w:pStyle w:val="Titre1"/>
      </w:pPr>
      <w:bookmarkStart w:id="91" w:name="_Toc144372017"/>
      <w:bookmarkStart w:id="92" w:name="_Toc144807529"/>
      <w:bookmarkStart w:id="93" w:name="_Toc144807776"/>
      <w:bookmarkStart w:id="94" w:name="_Toc144807888"/>
      <w:bookmarkStart w:id="95" w:name="_Toc225785301"/>
      <w:r>
        <w:lastRenderedPageBreak/>
        <w:t xml:space="preserve">11 </w:t>
      </w:r>
      <w:r w:rsidR="00195379">
        <w:t>Le c</w:t>
      </w:r>
      <w:r>
        <w:t xml:space="preserve">alcul du résultat et </w:t>
      </w:r>
      <w:r w:rsidR="00195379">
        <w:t xml:space="preserve">son </w:t>
      </w:r>
      <w:r>
        <w:t>affectation</w:t>
      </w:r>
      <w:bookmarkEnd w:id="91"/>
      <w:bookmarkEnd w:id="92"/>
      <w:bookmarkEnd w:id="93"/>
      <w:bookmarkEnd w:id="94"/>
      <w:bookmarkEnd w:id="95"/>
    </w:p>
    <w:p w:rsidR="001F1D4A" w:rsidRDefault="001F1D4A" w:rsidP="00846C9E">
      <w:r>
        <w:t xml:space="preserve">A la clôture de l’exercice, le vote du compte administratif et du compte de gestion constitue </w:t>
      </w:r>
      <w:r w:rsidR="009E4748">
        <w:t>l’arrêté</w:t>
      </w:r>
      <w:r w:rsidR="00CD2332">
        <w:t xml:space="preserve"> des comptes</w:t>
      </w:r>
      <w:r>
        <w:t>.</w:t>
      </w:r>
      <w:r w:rsidR="00CD2332">
        <w:t xml:space="preserve"> </w:t>
      </w:r>
      <w:r>
        <w:t xml:space="preserve">Cet arrêté permet de dégager : </w:t>
      </w:r>
    </w:p>
    <w:p w:rsidR="001F1D4A" w:rsidRDefault="001F1D4A" w:rsidP="00846C9E">
      <w:pPr>
        <w:pStyle w:val="Paragraphedeliste"/>
        <w:numPr>
          <w:ilvl w:val="1"/>
          <w:numId w:val="5"/>
        </w:numPr>
      </w:pPr>
      <w:r>
        <w:t xml:space="preserve">le résultat proprement dit (section de fonctionnement) ; </w:t>
      </w:r>
    </w:p>
    <w:p w:rsidR="001F1D4A" w:rsidRDefault="001F1D4A" w:rsidP="00846C9E">
      <w:pPr>
        <w:pStyle w:val="Paragraphedeliste"/>
        <w:numPr>
          <w:ilvl w:val="1"/>
          <w:numId w:val="5"/>
        </w:numPr>
      </w:pPr>
      <w:r>
        <w:t xml:space="preserve">le solde d’exécution de la section d’investissement ; </w:t>
      </w:r>
    </w:p>
    <w:p w:rsidR="001F1D4A" w:rsidRDefault="001F1D4A" w:rsidP="00846C9E">
      <w:pPr>
        <w:pStyle w:val="Paragraphedeliste"/>
        <w:numPr>
          <w:ilvl w:val="1"/>
          <w:numId w:val="5"/>
        </w:numPr>
      </w:pPr>
      <w:r>
        <w:t>les restes à réaliser</w:t>
      </w:r>
      <w:r w:rsidR="00CD2332">
        <w:t xml:space="preserve"> (RAR)</w:t>
      </w:r>
      <w:r w:rsidR="009F0985">
        <w:t xml:space="preserve"> de la </w:t>
      </w:r>
      <w:r>
        <w:t>section</w:t>
      </w:r>
      <w:r w:rsidR="009F0985">
        <w:t xml:space="preserve"> d’investissement</w:t>
      </w:r>
      <w:r>
        <w:t>.</w:t>
      </w:r>
    </w:p>
    <w:p w:rsidR="001F1D4A" w:rsidRDefault="001F1D4A" w:rsidP="00846C9E">
      <w:r>
        <w:t xml:space="preserve">Le solde d’exécution de la section d’investissement, corrigé des restes à réaliser, fait ressortir : </w:t>
      </w:r>
    </w:p>
    <w:p w:rsidR="001F1D4A" w:rsidRDefault="001F1D4A" w:rsidP="00846C9E">
      <w:pPr>
        <w:pStyle w:val="Paragraphedeliste"/>
        <w:numPr>
          <w:ilvl w:val="1"/>
          <w:numId w:val="5"/>
        </w:numPr>
      </w:pPr>
      <w:r>
        <w:t xml:space="preserve">un besoin de financement (dépenses supérieures aux recettes) ; </w:t>
      </w:r>
    </w:p>
    <w:p w:rsidR="001F1D4A" w:rsidRDefault="001F1D4A" w:rsidP="00846C9E">
      <w:pPr>
        <w:pStyle w:val="Paragraphedeliste"/>
        <w:numPr>
          <w:ilvl w:val="1"/>
          <w:numId w:val="5"/>
        </w:numPr>
      </w:pPr>
      <w:r>
        <w:t>ou un excédent de financement (recettes supérieures aux dépenses).</w:t>
      </w:r>
    </w:p>
    <w:p w:rsidR="001F1D4A" w:rsidRDefault="001F1D4A" w:rsidP="00846C9E">
      <w:r>
        <w:t>En fonction des résultats de fonctionnement du compte administratif, l’assemblée doit décider de l’emploi du résultat excédentaire en report en section de fonctionnement et / ou son affectation en section d’investissement (pour tout ou partie).</w:t>
      </w:r>
    </w:p>
    <w:p w:rsidR="00CD2332" w:rsidRDefault="00CD2332" w:rsidP="001A393E">
      <w:pPr>
        <w:pStyle w:val="Titre2"/>
      </w:pPr>
      <w:bookmarkStart w:id="96" w:name="_Toc144807889"/>
      <w:bookmarkStart w:id="97" w:name="_Toc225785302"/>
      <w:r>
        <w:t>Définitions</w:t>
      </w:r>
      <w:bookmarkEnd w:id="96"/>
      <w:bookmarkEnd w:id="97"/>
    </w:p>
    <w:p w:rsidR="001F1D4A" w:rsidRDefault="001F1D4A" w:rsidP="00846C9E">
      <w:r>
        <w:t xml:space="preserve">Le </w:t>
      </w:r>
      <w:r w:rsidRPr="00CD2332">
        <w:rPr>
          <w:b/>
        </w:rPr>
        <w:t>résultat</w:t>
      </w:r>
      <w:r>
        <w:t xml:space="preserve"> </w:t>
      </w:r>
      <w:r w:rsidR="00CD2332">
        <w:t xml:space="preserve">(section de fonctionnement) </w:t>
      </w:r>
      <w:r>
        <w:t>est constitué par le cumul du résultat de l’exercice (cumul des titres émis et des annulations de mandats – cumul des mandats émis et des annulations de titres), et du résultat reporté (inscrit au compte 002).</w:t>
      </w:r>
      <w:r w:rsidR="00AE420B">
        <w:t xml:space="preserve"> C’est ce résultat </w:t>
      </w:r>
      <w:r w:rsidR="00195379">
        <w:t xml:space="preserve">cumulé </w:t>
      </w:r>
      <w:r w:rsidR="00AE420B">
        <w:t>qui est affecté ensuite.</w:t>
      </w:r>
    </w:p>
    <w:p w:rsidR="001F1D4A" w:rsidRDefault="001F1D4A" w:rsidP="00846C9E">
      <w:r>
        <w:t xml:space="preserve">Le </w:t>
      </w:r>
      <w:r w:rsidRPr="00CD2332">
        <w:rPr>
          <w:b/>
        </w:rPr>
        <w:t>solde d’exécution</w:t>
      </w:r>
      <w:r>
        <w:t xml:space="preserve"> </w:t>
      </w:r>
      <w:r w:rsidR="00CD2332">
        <w:t xml:space="preserve">(section d’investissement) </w:t>
      </w:r>
      <w:r>
        <w:t>est constitué par le cumul</w:t>
      </w:r>
      <w:r w:rsidR="00666987">
        <w:t>,</w:t>
      </w:r>
      <w:r>
        <w:t xml:space="preserve"> </w:t>
      </w:r>
      <w:r w:rsidR="00666987">
        <w:t xml:space="preserve">d’une part </w:t>
      </w:r>
      <w:r>
        <w:t>de la différence entre le montant des émissions de titres et des annulations de mandats</w:t>
      </w:r>
      <w:r w:rsidR="00666987">
        <w:t>,</w:t>
      </w:r>
      <w:r>
        <w:t xml:space="preserve"> et le montant des mandats et des annul</w:t>
      </w:r>
      <w:r w:rsidR="00AE420B">
        <w:t xml:space="preserve">ations de titres de l’exercice, </w:t>
      </w:r>
      <w:r w:rsidR="00666987">
        <w:t xml:space="preserve">et d’autre part </w:t>
      </w:r>
      <w:r>
        <w:t xml:space="preserve">du </w:t>
      </w:r>
      <w:r w:rsidR="00CD2332">
        <w:t>solde d’exécution</w:t>
      </w:r>
      <w:r>
        <w:t xml:space="preserve"> reporté</w:t>
      </w:r>
      <w:r w:rsidR="00AE420B">
        <w:t xml:space="preserve"> </w:t>
      </w:r>
      <w:r w:rsidR="0074583B">
        <w:t xml:space="preserve">de l’exercice précédent </w:t>
      </w:r>
      <w:r w:rsidR="00AE420B">
        <w:t>(inscrit au compte 001)</w:t>
      </w:r>
      <w:r>
        <w:t>.</w:t>
      </w:r>
    </w:p>
    <w:p w:rsidR="005C57D5" w:rsidRDefault="00666987" w:rsidP="00846C9E">
      <w:r>
        <w:t>Ce solde</w:t>
      </w:r>
      <w:r w:rsidR="00AE420B">
        <w:t xml:space="preserve"> est corrigé des restes à réaliser pour déterminer si la collectivité fait face à un</w:t>
      </w:r>
      <w:r w:rsidR="005C57D5">
        <w:t xml:space="preserve"> excédent ou un besoin de financement à reporter.</w:t>
      </w:r>
      <w:r w:rsidR="00AE420B">
        <w:t xml:space="preserve"> </w:t>
      </w:r>
    </w:p>
    <w:p w:rsidR="00CD2332" w:rsidRPr="001A393E" w:rsidRDefault="00CD2332" w:rsidP="001A393E">
      <w:pPr>
        <w:pStyle w:val="Titre2"/>
      </w:pPr>
      <w:bookmarkStart w:id="98" w:name="_Toc144807890"/>
      <w:bookmarkStart w:id="99" w:name="_Toc225785303"/>
      <w:r w:rsidRPr="001A393E">
        <w:t>Affectation</w:t>
      </w:r>
      <w:bookmarkEnd w:id="98"/>
      <w:bookmarkEnd w:id="99"/>
    </w:p>
    <w:p w:rsidR="00195379" w:rsidRDefault="00195379" w:rsidP="00846C9E">
      <w:r>
        <w:t>Le résultat cumulé excédentaire doit être affecté en priorité:</w:t>
      </w:r>
    </w:p>
    <w:p w:rsidR="00195379" w:rsidRDefault="00195379" w:rsidP="00846C9E">
      <w:pPr>
        <w:pStyle w:val="Paragraphedeliste"/>
        <w:numPr>
          <w:ilvl w:val="1"/>
          <w:numId w:val="5"/>
        </w:numPr>
      </w:pPr>
      <w:r>
        <w:t xml:space="preserve">à la couverture du besoin de financement dégagé par la section d’investissement (compte 1068), </w:t>
      </w:r>
    </w:p>
    <w:p w:rsidR="00195379" w:rsidRDefault="00195379" w:rsidP="00846C9E">
      <w:pPr>
        <w:pStyle w:val="Paragraphedeliste"/>
        <w:numPr>
          <w:ilvl w:val="1"/>
          <w:numId w:val="5"/>
        </w:numPr>
      </w:pPr>
      <w:r>
        <w:t xml:space="preserve">pour le solde et selon la décision de l’assemblée délibérante : </w:t>
      </w:r>
    </w:p>
    <w:p w:rsidR="00195379" w:rsidRDefault="00195379" w:rsidP="00846C9E">
      <w:pPr>
        <w:pStyle w:val="Paragraphedeliste"/>
        <w:numPr>
          <w:ilvl w:val="2"/>
          <w:numId w:val="5"/>
        </w:numPr>
      </w:pPr>
      <w:r>
        <w:t xml:space="preserve">en excédents de fonctionnement reportés (report à nouveau créditeur sur la ligne codifiée 002) ou </w:t>
      </w:r>
    </w:p>
    <w:p w:rsidR="00195379" w:rsidRDefault="00195379" w:rsidP="00846C9E">
      <w:pPr>
        <w:pStyle w:val="Paragraphedeliste"/>
        <w:numPr>
          <w:ilvl w:val="2"/>
          <w:numId w:val="5"/>
        </w:numPr>
      </w:pPr>
      <w:r>
        <w:t>en une dotation complémentaire en section d’investissement (compte 1068).</w:t>
      </w:r>
    </w:p>
    <w:p w:rsidR="00195379" w:rsidRDefault="00195379" w:rsidP="00846C9E">
      <w:r>
        <w:t>La recette résultant de l’affectation est reprise au budget au compte 1068 ; elle permet notamment de couvrir le besoin de financement de la section d’investissement (solde d’exécution et restes à réaliser).</w:t>
      </w:r>
    </w:p>
    <w:p w:rsidR="005C57D5" w:rsidRDefault="00195379" w:rsidP="00846C9E">
      <w:r>
        <w:t>Le solde d’exécution d’investissement fait l’objet d’un simple report en section d’investissement (ligne codifiée 001), quel qu’en soit le sens</w:t>
      </w:r>
      <w:r w:rsidR="00002267">
        <w:t>,</w:t>
      </w:r>
      <w:r>
        <w:t xml:space="preserve"> sans possibilité de report en section de fonctionnement. Les restes à réaliser sont également reportés en recettes et en dépense.</w:t>
      </w:r>
      <w:r w:rsidR="005C57D5">
        <w:br w:type="page"/>
      </w:r>
    </w:p>
    <w:p w:rsidR="00386CC3" w:rsidRPr="00666987" w:rsidRDefault="00CD2332" w:rsidP="0074583B">
      <w:pPr>
        <w:pStyle w:val="Titre1"/>
      </w:pPr>
      <w:bookmarkStart w:id="100" w:name="_Toc144372018"/>
      <w:bookmarkStart w:id="101" w:name="_Toc144807530"/>
      <w:bookmarkStart w:id="102" w:name="_Toc144807777"/>
      <w:bookmarkStart w:id="103" w:name="_Toc144807891"/>
      <w:bookmarkStart w:id="104" w:name="_Toc225785304"/>
      <w:r w:rsidRPr="00666987">
        <w:lastRenderedPageBreak/>
        <w:t xml:space="preserve">12 </w:t>
      </w:r>
      <w:r w:rsidR="00386CC3" w:rsidRPr="00666987">
        <w:t xml:space="preserve">La poursuite d’exécution du budget sur l'exercice </w:t>
      </w:r>
      <w:r w:rsidR="00A96262" w:rsidRPr="00666987">
        <w:t>suivant</w:t>
      </w:r>
      <w:r w:rsidR="00386CC3" w:rsidRPr="00666987">
        <w:t>: les restes à réaliser</w:t>
      </w:r>
      <w:bookmarkEnd w:id="100"/>
      <w:bookmarkEnd w:id="101"/>
      <w:bookmarkEnd w:id="102"/>
      <w:bookmarkEnd w:id="103"/>
      <w:bookmarkEnd w:id="104"/>
      <w:r w:rsidR="00F659C5" w:rsidRPr="00666987">
        <w:t xml:space="preserve"> </w:t>
      </w:r>
    </w:p>
    <w:p w:rsidR="00F659C5" w:rsidRDefault="00F659C5" w:rsidP="001A393E">
      <w:pPr>
        <w:pStyle w:val="Titre2"/>
      </w:pPr>
      <w:bookmarkStart w:id="105" w:name="_Toc144807892"/>
      <w:bookmarkStart w:id="106" w:name="_Toc225785305"/>
      <w:r>
        <w:t>Les restes à réaliser et la sincérité du compte administratif</w:t>
      </w:r>
      <w:r w:rsidR="008325A8">
        <w:t> : règles générales</w:t>
      </w:r>
      <w:bookmarkEnd w:id="105"/>
      <w:bookmarkEnd w:id="106"/>
    </w:p>
    <w:p w:rsidR="00002267" w:rsidRDefault="00CD2332" w:rsidP="001A393E">
      <w:pPr>
        <w:spacing w:after="0"/>
      </w:pPr>
      <w:r>
        <w:t>Pour rappel l</w:t>
      </w:r>
      <w:r w:rsidR="00386CC3">
        <w:t>es restes à réaliser (RAR) correspondent</w:t>
      </w:r>
      <w:r w:rsidR="00002267">
        <w:t xml:space="preserve"> : </w:t>
      </w:r>
    </w:p>
    <w:p w:rsidR="00002267" w:rsidRDefault="00386CC3" w:rsidP="001A393E">
      <w:pPr>
        <w:pStyle w:val="Paragraphedeliste"/>
        <w:numPr>
          <w:ilvl w:val="1"/>
          <w:numId w:val="5"/>
        </w:numPr>
        <w:ind w:left="567" w:hanging="283"/>
      </w:pPr>
      <w:r>
        <w:t xml:space="preserve">aux dépenses </w:t>
      </w:r>
      <w:r w:rsidR="00CD2332">
        <w:t xml:space="preserve">d’investissement </w:t>
      </w:r>
      <w:r>
        <w:t xml:space="preserve">engagées </w:t>
      </w:r>
      <w:r w:rsidR="00CD2332">
        <w:t xml:space="preserve">mais </w:t>
      </w:r>
      <w:r>
        <w:t>non mandatées</w:t>
      </w:r>
      <w:r w:rsidR="00024F26">
        <w:t>,</w:t>
      </w:r>
      <w:r>
        <w:t xml:space="preserve"> et </w:t>
      </w:r>
    </w:p>
    <w:p w:rsidR="00CD2332" w:rsidRDefault="00386CC3" w:rsidP="001A393E">
      <w:pPr>
        <w:pStyle w:val="Paragraphedeliste"/>
        <w:numPr>
          <w:ilvl w:val="1"/>
          <w:numId w:val="5"/>
        </w:numPr>
        <w:ind w:left="567" w:hanging="283"/>
      </w:pPr>
      <w:r>
        <w:t xml:space="preserve">aux recettes </w:t>
      </w:r>
      <w:r w:rsidR="00002267">
        <w:t xml:space="preserve">d’investissement </w:t>
      </w:r>
      <w:r>
        <w:t xml:space="preserve">certaines n’ayant pas donné lieu à l’émission d’un titre de recette au </w:t>
      </w:r>
      <w:r w:rsidR="00CD2332">
        <w:t>31/12/N</w:t>
      </w:r>
      <w:r>
        <w:t xml:space="preserve"> telles qu’elles ressortent de la comptabilité des engagements.</w:t>
      </w:r>
      <w:r w:rsidR="00CD2332" w:rsidRPr="00CD2332">
        <w:t xml:space="preserve"> </w:t>
      </w:r>
    </w:p>
    <w:p w:rsidR="00CD2332" w:rsidRDefault="00CD2332" w:rsidP="00846C9E">
      <w:r>
        <w:t>Les RAR constatés au compte administratif N doivent être repris à l’identique dans le budget primitif N+1 ou dans le budget supplémentaire en même temps que les résultats budgétaires cumulés de l’année N.</w:t>
      </w:r>
    </w:p>
    <w:p w:rsidR="00024F26" w:rsidRDefault="00857D24" w:rsidP="001A393E">
      <w:pPr>
        <w:spacing w:after="0"/>
      </w:pPr>
      <w:r>
        <w:t xml:space="preserve">L’importance significative des restes à réaliser dans la détermination du solde d’exécution de la section d’investissement nécessite une vigilance particulière. Ainsi que le rappelle la </w:t>
      </w:r>
      <w:r w:rsidR="009F0985">
        <w:t xml:space="preserve">nomenclature comptable </w:t>
      </w:r>
      <w:r>
        <w:t>M57, l</w:t>
      </w:r>
      <w:r w:rsidRPr="00857D24">
        <w:t>a sincérité des restes à réali</w:t>
      </w:r>
      <w:r w:rsidR="00024F26">
        <w:t>ser s’apprécie par comparaison :</w:t>
      </w:r>
    </w:p>
    <w:p w:rsidR="00024F26" w:rsidRDefault="00857D24" w:rsidP="001A393E">
      <w:pPr>
        <w:pStyle w:val="Paragraphedeliste"/>
        <w:numPr>
          <w:ilvl w:val="0"/>
          <w:numId w:val="27"/>
        </w:numPr>
        <w:ind w:left="567" w:hanging="283"/>
      </w:pPr>
      <w:r w:rsidRPr="00857D24">
        <w:t xml:space="preserve">avec les états joints au compte administratif et issus de la comptabilité des engagements pour les dépenses, </w:t>
      </w:r>
    </w:p>
    <w:p w:rsidR="00857D24" w:rsidRDefault="00857D24" w:rsidP="001A393E">
      <w:pPr>
        <w:pStyle w:val="Paragraphedeliste"/>
        <w:numPr>
          <w:ilvl w:val="0"/>
          <w:numId w:val="27"/>
        </w:numPr>
        <w:ind w:left="567" w:hanging="283"/>
      </w:pPr>
      <w:r w:rsidRPr="00857D24">
        <w:t>avec tout document susceptible d’établir la réalité ou le caractère certain de la recette</w:t>
      </w:r>
      <w:r w:rsidR="00024F26">
        <w:rPr>
          <w:rStyle w:val="Appelnotedebasdep"/>
        </w:rPr>
        <w:footnoteReference w:id="21"/>
      </w:r>
      <w:r w:rsidRPr="00857D24">
        <w:t>.</w:t>
      </w:r>
    </w:p>
    <w:p w:rsidR="00C56496" w:rsidRPr="008F7610" w:rsidRDefault="003E3BAA" w:rsidP="00846C9E">
      <w:pPr>
        <w:rPr>
          <w:u w:val="single"/>
        </w:rPr>
      </w:pPr>
      <w:r w:rsidRPr="008F7610">
        <w:rPr>
          <w:u w:val="single"/>
        </w:rPr>
        <w:t>A Sotteville-lès-Rouen, a</w:t>
      </w:r>
      <w:r w:rsidR="00C56496" w:rsidRPr="008F7610">
        <w:rPr>
          <w:u w:val="single"/>
        </w:rPr>
        <w:t xml:space="preserve">fin de garantir la sincérité </w:t>
      </w:r>
      <w:r w:rsidRPr="008F7610">
        <w:rPr>
          <w:u w:val="single"/>
        </w:rPr>
        <w:t>du compte administratif</w:t>
      </w:r>
      <w:r w:rsidR="00C56496" w:rsidRPr="008F7610">
        <w:rPr>
          <w:u w:val="single"/>
        </w:rPr>
        <w:t xml:space="preserve">, les engagements </w:t>
      </w:r>
      <w:r w:rsidRPr="008F7610">
        <w:rPr>
          <w:u w:val="single"/>
        </w:rPr>
        <w:t xml:space="preserve">comptable </w:t>
      </w:r>
      <w:r w:rsidR="00C56496" w:rsidRPr="008F7610">
        <w:rPr>
          <w:u w:val="single"/>
        </w:rPr>
        <w:t xml:space="preserve">non soldés en dépense </w:t>
      </w:r>
      <w:r w:rsidRPr="008F7610">
        <w:rPr>
          <w:u w:val="single"/>
        </w:rPr>
        <w:t>comme</w:t>
      </w:r>
      <w:r w:rsidR="00C56496" w:rsidRPr="008F7610">
        <w:rPr>
          <w:u w:val="single"/>
        </w:rPr>
        <w:t xml:space="preserve"> en recette</w:t>
      </w:r>
      <w:r w:rsidRPr="008F7610">
        <w:rPr>
          <w:rStyle w:val="Appelnotedebasdep"/>
          <w:u w:val="single"/>
        </w:rPr>
        <w:footnoteReference w:id="22"/>
      </w:r>
      <w:r w:rsidR="00C56496" w:rsidRPr="008F7610">
        <w:rPr>
          <w:u w:val="single"/>
        </w:rPr>
        <w:t xml:space="preserve"> d’investissement </w:t>
      </w:r>
      <w:r w:rsidR="00857D24" w:rsidRPr="008F7610">
        <w:rPr>
          <w:u w:val="single"/>
        </w:rPr>
        <w:t>sont</w:t>
      </w:r>
      <w:r w:rsidR="00C56496" w:rsidRPr="008F7610">
        <w:rPr>
          <w:u w:val="single"/>
        </w:rPr>
        <w:t xml:space="preserve"> justifiés par un </w:t>
      </w:r>
      <w:r w:rsidR="00710BDE" w:rsidRPr="008F7610">
        <w:rPr>
          <w:u w:val="single"/>
        </w:rPr>
        <w:t>acte</w:t>
      </w:r>
      <w:r w:rsidR="00C56496" w:rsidRPr="008F7610">
        <w:rPr>
          <w:u w:val="single"/>
        </w:rPr>
        <w:t xml:space="preserve"> juridique</w:t>
      </w:r>
      <w:r w:rsidRPr="008F7610">
        <w:rPr>
          <w:u w:val="single"/>
        </w:rPr>
        <w:t xml:space="preserve"> traduisant l’engagement pris ou reçu par la collectivité (marché public, délibération, arrêté, etc)</w:t>
      </w:r>
      <w:r w:rsidR="00C56496" w:rsidRPr="008F7610">
        <w:rPr>
          <w:u w:val="single"/>
        </w:rPr>
        <w:t>.</w:t>
      </w:r>
      <w:r w:rsidRPr="008F7610">
        <w:rPr>
          <w:u w:val="single"/>
        </w:rPr>
        <w:t xml:space="preserve"> </w:t>
      </w:r>
    </w:p>
    <w:p w:rsidR="00386CC3" w:rsidRDefault="008325A8" w:rsidP="001A393E">
      <w:pPr>
        <w:pStyle w:val="Titre2"/>
      </w:pPr>
      <w:bookmarkStart w:id="107" w:name="_Toc144807893"/>
      <w:bookmarkStart w:id="108" w:name="_Toc225785306"/>
      <w:r>
        <w:t>Spécificités : l</w:t>
      </w:r>
      <w:r w:rsidR="00E02A6C">
        <w:t>es restes à réaliser dans le cadre de la gestion pluriannuelle des crédits</w:t>
      </w:r>
      <w:bookmarkEnd w:id="107"/>
      <w:bookmarkEnd w:id="108"/>
    </w:p>
    <w:p w:rsidR="00E02A6C" w:rsidRDefault="00C56496" w:rsidP="00846C9E">
      <w:r>
        <w:t xml:space="preserve">En principe, les </w:t>
      </w:r>
      <w:r w:rsidR="003E3BAA">
        <w:t>crédits de paiement</w:t>
      </w:r>
      <w:r>
        <w:t xml:space="preserve"> non consommés en N tombent en fin d’exercice. Juridiquement, les reports </w:t>
      </w:r>
      <w:r w:rsidR="00024F26">
        <w:t>demeurent</w:t>
      </w:r>
      <w:r>
        <w:t xml:space="preserve"> possibles. Toutefois, </w:t>
      </w:r>
      <w:r w:rsidR="00024F26">
        <w:t>ce n’est pas l’option retenue à Sotteville-lès-Rouen.</w:t>
      </w:r>
    </w:p>
    <w:p w:rsidR="001A393E" w:rsidRDefault="00666987" w:rsidP="00846C9E">
      <w:pPr>
        <w:rPr>
          <w:u w:val="single"/>
        </w:rPr>
      </w:pPr>
      <w:r w:rsidRPr="008F7610">
        <w:rPr>
          <w:u w:val="single"/>
        </w:rPr>
        <w:t>A Sotteville-lès-Rouen, il</w:t>
      </w:r>
      <w:r w:rsidR="00024F26" w:rsidRPr="008F7610">
        <w:rPr>
          <w:u w:val="single"/>
        </w:rPr>
        <w:t xml:space="preserve"> est convenu une règle de </w:t>
      </w:r>
      <w:r w:rsidR="00024F26" w:rsidRPr="008F7610">
        <w:rPr>
          <w:b/>
          <w:u w:val="single"/>
        </w:rPr>
        <w:t>caducité automatique des crédits de paiement</w:t>
      </w:r>
      <w:r w:rsidR="00024F26" w:rsidRPr="008F7610">
        <w:rPr>
          <w:u w:val="single"/>
        </w:rPr>
        <w:t xml:space="preserve"> à l’issu</w:t>
      </w:r>
      <w:r w:rsidR="009F0985">
        <w:rPr>
          <w:u w:val="single"/>
        </w:rPr>
        <w:t>e</w:t>
      </w:r>
      <w:r w:rsidR="00024F26" w:rsidRPr="008F7610">
        <w:rPr>
          <w:u w:val="single"/>
        </w:rPr>
        <w:t xml:space="preserve"> de l’exercice budgétaire. Les crédits de paiement sont ventilés de nouveau à l’occasion d’un nouvel acte budgétaire (budget primitif N+1 ouvrant les crédits de paiement pour l’année concernée).</w:t>
      </w:r>
      <w:r w:rsidR="00DA7136" w:rsidRPr="008F7610">
        <w:rPr>
          <w:u w:val="single"/>
        </w:rPr>
        <w:t xml:space="preserve"> </w:t>
      </w:r>
    </w:p>
    <w:p w:rsidR="00024F26" w:rsidRDefault="00710BDE" w:rsidP="00846C9E">
      <w:r w:rsidRPr="008F7610">
        <w:t>Toutefois, d</w:t>
      </w:r>
      <w:r w:rsidR="00DA7136" w:rsidRPr="008F7610">
        <w:t>ans l’attente du vote du budget</w:t>
      </w:r>
      <w:r w:rsidRPr="008F7610">
        <w:t>,</w:t>
      </w:r>
      <w:r w:rsidR="00DA7136" w:rsidRPr="008F7610">
        <w:t xml:space="preserve"> des crédits de paiement sont ouverts de façon anticipée, ainsi que cela est précisé au point « Modalités d’ouverture anticipée des crédits ».</w:t>
      </w:r>
    </w:p>
    <w:p w:rsidR="00F86BF0" w:rsidRPr="008F7610" w:rsidRDefault="00F86BF0" w:rsidP="00846C9E"/>
    <w:p w:rsidR="00A96262" w:rsidRDefault="00A96262" w:rsidP="00846C9E">
      <w:r>
        <w:br w:type="page"/>
      </w:r>
    </w:p>
    <w:p w:rsidR="00E02A6C" w:rsidRPr="0074583B" w:rsidRDefault="00A96262" w:rsidP="0074583B">
      <w:pPr>
        <w:pStyle w:val="Titre1"/>
      </w:pPr>
      <w:bookmarkStart w:id="109" w:name="_Toc144372019"/>
      <w:bookmarkStart w:id="110" w:name="_Toc144807531"/>
      <w:bookmarkStart w:id="111" w:name="_Toc144807778"/>
      <w:bookmarkStart w:id="112" w:name="_Toc144807894"/>
      <w:bookmarkStart w:id="113" w:name="_Toc225785307"/>
      <w:r w:rsidRPr="0074583B">
        <w:lastRenderedPageBreak/>
        <w:t>13 Modalités d</w:t>
      </w:r>
      <w:r w:rsidR="008325A8" w:rsidRPr="0074583B">
        <w:t>’ouverture anticipée des crédits</w:t>
      </w:r>
      <w:bookmarkEnd w:id="109"/>
      <w:r w:rsidR="00850D7C" w:rsidRPr="0074583B">
        <w:t xml:space="preserve"> et budget provisoire</w:t>
      </w:r>
      <w:bookmarkEnd w:id="110"/>
      <w:bookmarkEnd w:id="111"/>
      <w:bookmarkEnd w:id="112"/>
      <w:bookmarkEnd w:id="113"/>
    </w:p>
    <w:p w:rsidR="00A96262" w:rsidRPr="0074583B" w:rsidRDefault="00A96262" w:rsidP="001A393E">
      <w:pPr>
        <w:pStyle w:val="Titre2"/>
      </w:pPr>
      <w:bookmarkStart w:id="114" w:name="_Toc144807895"/>
      <w:bookmarkStart w:id="115" w:name="_Toc225785308"/>
      <w:r w:rsidRPr="0074583B">
        <w:t>Règle générale de continuité</w:t>
      </w:r>
      <w:r w:rsidR="00850D7C" w:rsidRPr="0074583B">
        <w:t> : le budget provisoire</w:t>
      </w:r>
      <w:bookmarkEnd w:id="114"/>
      <w:bookmarkEnd w:id="115"/>
    </w:p>
    <w:p w:rsidR="00803973" w:rsidRDefault="00803973" w:rsidP="00846C9E">
      <w:r>
        <w:t>Le CGCT prévoit que dans le cas où le budget d'une collectivité territoriale n'a pas été adopté avant le 1er janvier de l'exercice auquel il s'applique, l'exécutif de la collectivité territoriale est en droit, jusqu'à l'adoption de ce budget, de mettre en recouvrement les recettes et d'engager, de liquider et de mandater les dépenses de la section de fonctionnement dans la limite de celles inscrites au budget de l'année précédente. De même, il est en droit de mandater les dépenses afférentes au remboursement en capital des annuités de la dette venant à échéance avant le vote du budget.</w:t>
      </w:r>
    </w:p>
    <w:p w:rsidR="00850D7C" w:rsidRDefault="00803973" w:rsidP="00846C9E">
      <w:r>
        <w:t>S’agissant des autres dépenses d’investissement, jusqu'à l'adoption du budget, l’exécutif est tenu d’être autorisé par l’organe délibérant afin d’engager, de liquider et de mandater les dé</w:t>
      </w:r>
      <w:r w:rsidR="00790D76">
        <w:t>penses d'investissement. Celles-</w:t>
      </w:r>
      <w:r>
        <w:t>ci sont d’ailleurs  limitées au quart des crédits ouverts au budget de l'exercice précédent, non compris les crédits afférents au remboursement de la dette</w:t>
      </w:r>
      <w:r w:rsidR="00702706">
        <w:rPr>
          <w:rStyle w:val="Appelnotedebasdep"/>
        </w:rPr>
        <w:footnoteReference w:id="23"/>
      </w:r>
      <w:r>
        <w:t>.</w:t>
      </w:r>
      <w:r w:rsidR="00790D76">
        <w:t xml:space="preserve"> </w:t>
      </w:r>
      <w:r w:rsidRPr="00666987">
        <w:rPr>
          <w:u w:val="single"/>
        </w:rPr>
        <w:t>A Sotteville-lès-Rouen, une telle délibération est prise en décembre.</w:t>
      </w:r>
      <w:r w:rsidRPr="00666987">
        <w:t xml:space="preserve"> Les montants sont affectés au niveau des chapitres budgétaires. </w:t>
      </w:r>
    </w:p>
    <w:p w:rsidR="00803973" w:rsidRDefault="00850D7C" w:rsidP="00846C9E">
      <w:r>
        <w:t xml:space="preserve">L’ensemble des crédits ouverts avant le vote du budget primitif constitue le </w:t>
      </w:r>
      <w:r w:rsidRPr="00850D7C">
        <w:rPr>
          <w:b/>
        </w:rPr>
        <w:t>budget provisoire</w:t>
      </w:r>
      <w:r>
        <w:t xml:space="preserve">. </w:t>
      </w:r>
    </w:p>
    <w:p w:rsidR="00803973" w:rsidRDefault="006E4CCE" w:rsidP="001A393E">
      <w:pPr>
        <w:pStyle w:val="Titre2"/>
      </w:pPr>
      <w:bookmarkStart w:id="116" w:name="_Toc144807896"/>
      <w:bookmarkStart w:id="117" w:name="_Toc225785309"/>
      <w:r>
        <w:t>Spécificités</w:t>
      </w:r>
      <w:r w:rsidR="00803973">
        <w:t xml:space="preserve"> : </w:t>
      </w:r>
      <w:r w:rsidR="00803973" w:rsidRPr="00803973">
        <w:t>l’ouverture anticipée des crédits</w:t>
      </w:r>
      <w:r w:rsidR="00803973">
        <w:t xml:space="preserve"> gérés de façon </w:t>
      </w:r>
      <w:r w:rsidR="00A96262">
        <w:t>pluriannuelle</w:t>
      </w:r>
      <w:bookmarkEnd w:id="116"/>
      <w:bookmarkEnd w:id="117"/>
    </w:p>
    <w:p w:rsidR="00CB550F" w:rsidRDefault="00803973" w:rsidP="00846C9E">
      <w:r>
        <w:t>Le CGCT indique, pour les dépenses à caractère pluriannuel incluses dans une autorisation de programme ou d'engagement votée sur des exercices antérieurs, que l'exécutif peut les liquider et les mandater dans la limite des crédits de paiement prévus au titre de l'exercice par la délibération d'ouverture de l'autorisation de programme ou d'engagement</w:t>
      </w:r>
      <w:r w:rsidR="00702706">
        <w:rPr>
          <w:rStyle w:val="Appelnotedebasdep"/>
        </w:rPr>
        <w:footnoteReference w:id="24"/>
      </w:r>
      <w:r>
        <w:t>.</w:t>
      </w:r>
      <w:r w:rsidR="005E4488">
        <w:t xml:space="preserve"> </w:t>
      </w:r>
    </w:p>
    <w:p w:rsidR="00803973" w:rsidRDefault="00CB550F" w:rsidP="00846C9E">
      <w:r>
        <w:t>Cependant</w:t>
      </w:r>
      <w:r w:rsidR="00A96262">
        <w:t>, l</w:t>
      </w:r>
      <w:r w:rsidR="005E4488">
        <w:t xml:space="preserve">a </w:t>
      </w:r>
      <w:r w:rsidR="009F0985">
        <w:t xml:space="preserve">nomenclature budgétaire et comptable </w:t>
      </w:r>
      <w:r w:rsidR="005E4488">
        <w:t xml:space="preserve">M57 </w:t>
      </w:r>
      <w:r>
        <w:t>renvoie à</w:t>
      </w:r>
      <w:r w:rsidR="005E4488">
        <w:t xml:space="preserve"> une autre règle en faisant référence au cadre juridique des Métropoles,</w:t>
      </w:r>
      <w:r>
        <w:t xml:space="preserve"> qui s’applique aux collectivités ayant adopté la M57</w:t>
      </w:r>
      <w:r w:rsidR="00702706">
        <w:rPr>
          <w:rStyle w:val="Appelnotedebasdep"/>
        </w:rPr>
        <w:footnoteReference w:id="25"/>
      </w:r>
      <w:r w:rsidR="005E4488">
        <w:t>.</w:t>
      </w:r>
      <w:r>
        <w:t xml:space="preserve"> En effet, s’agissant des crédits ouverts dans une autorisation de programme, l’exécutif peut </w:t>
      </w:r>
      <w:r w:rsidRPr="00CB550F">
        <w:t>liquider et mandater les dépenses d'investissement et les dépenses de fonctionnement correspondant aux autorisations ouvertes au cours des exercices antérieurs, dans la limite d'un montant de crédits de paiement par chapitre égal au tiers des autorisations ouvertes au cours de l'exercice précédent</w:t>
      </w:r>
      <w:r w:rsidR="00710BDE" w:rsidRPr="00666987">
        <w:t xml:space="preserve">. </w:t>
      </w:r>
      <w:r>
        <w:br/>
      </w:r>
      <w:r w:rsidR="00710BDE" w:rsidRPr="00666987">
        <w:t>Cela permet</w:t>
      </w:r>
      <w:r w:rsidR="005E4488" w:rsidRPr="00666987">
        <w:t xml:space="preserve"> d’assurer une continuité des paiements</w:t>
      </w:r>
      <w:r w:rsidR="00710BDE" w:rsidRPr="00666987">
        <w:t xml:space="preserve"> tout en suivant les préconisations comptables sur</w:t>
      </w:r>
      <w:r w:rsidR="005E4488" w:rsidRPr="00666987">
        <w:t xml:space="preserve"> l’absence de restes à réaliser, et donc de reports de crédits, pour les autorisations de programme.</w:t>
      </w:r>
    </w:p>
    <w:p w:rsidR="005E4488" w:rsidRPr="00D96094" w:rsidRDefault="005E4488" w:rsidP="001A393E">
      <w:pPr>
        <w:pStyle w:val="Titre2"/>
      </w:pPr>
      <w:bookmarkStart w:id="118" w:name="_Toc144807897"/>
      <w:bookmarkStart w:id="119" w:name="_Toc225785310"/>
      <w:r w:rsidRPr="00D96094">
        <w:t>Forme de la délibération ouvrant des crédits d’investissement de façon anticipée</w:t>
      </w:r>
      <w:bookmarkEnd w:id="118"/>
      <w:bookmarkEnd w:id="119"/>
    </w:p>
    <w:p w:rsidR="00425B95" w:rsidRPr="00666987" w:rsidRDefault="005E4488" w:rsidP="00D96094">
      <w:pPr>
        <w:spacing w:after="0"/>
      </w:pPr>
      <w:r w:rsidRPr="00666987">
        <w:t>En conséquence de ce qui précède, la délibération prend la forme suivante :</w:t>
      </w:r>
    </w:p>
    <w:p w:rsidR="00D96094" w:rsidRDefault="005E4488" w:rsidP="00D96094">
      <w:pPr>
        <w:pStyle w:val="Paragraphedeliste"/>
        <w:numPr>
          <w:ilvl w:val="1"/>
          <w:numId w:val="5"/>
        </w:numPr>
        <w:ind w:left="709" w:hanging="283"/>
      </w:pPr>
      <w:r w:rsidRPr="00666987">
        <w:t>Les 25% applicables aux dépenses d’investissement (hors dette) sont déterminés par chapitre budgétaire sur la base des montants du budget N modifié en excluant les crédits de paiement des autorisations de programme ainsi que les RAR N-1 reporté en N ;</w:t>
      </w:r>
    </w:p>
    <w:p w:rsidR="00681D3B" w:rsidRPr="00666987" w:rsidRDefault="005E4488" w:rsidP="00D96094">
      <w:pPr>
        <w:pStyle w:val="Paragraphedeliste"/>
        <w:numPr>
          <w:ilvl w:val="1"/>
          <w:numId w:val="5"/>
        </w:numPr>
        <w:ind w:left="709" w:hanging="283"/>
      </w:pPr>
      <w:r w:rsidRPr="00666987">
        <w:t xml:space="preserve">Les montants ouverts </w:t>
      </w:r>
      <w:r w:rsidR="00CB7374" w:rsidRPr="00666987">
        <w:t xml:space="preserve">de façon anticipée </w:t>
      </w:r>
      <w:r w:rsidRPr="00666987">
        <w:t xml:space="preserve">pour les autorisations de programme </w:t>
      </w:r>
      <w:r w:rsidR="00CB7374">
        <w:t xml:space="preserve">(en N+1) </w:t>
      </w:r>
      <w:r w:rsidR="00A96262" w:rsidRPr="00666987">
        <w:t>correspondent</w:t>
      </w:r>
      <w:r w:rsidR="00CB7374">
        <w:t>,</w:t>
      </w:r>
      <w:r w:rsidR="00A96262" w:rsidRPr="00666987">
        <w:t xml:space="preserve"> </w:t>
      </w:r>
      <w:r w:rsidR="00CB7374" w:rsidRPr="00666987">
        <w:t>par AP</w:t>
      </w:r>
      <w:r w:rsidR="00CB7374">
        <w:t>,</w:t>
      </w:r>
      <w:r w:rsidR="00CB7374" w:rsidRPr="00666987">
        <w:t xml:space="preserve"> </w:t>
      </w:r>
      <w:r w:rsidR="00A96262" w:rsidRPr="00666987">
        <w:t xml:space="preserve">à </w:t>
      </w:r>
      <w:r w:rsidR="00CB550F">
        <w:t>33% des</w:t>
      </w:r>
      <w:r w:rsidR="00A96262" w:rsidRPr="00666987">
        <w:t xml:space="preserve"> crédits de paiement </w:t>
      </w:r>
      <w:r w:rsidR="00CB550F">
        <w:t>prévus</w:t>
      </w:r>
      <w:r w:rsidR="00CB7374">
        <w:t xml:space="preserve"> (en N)</w:t>
      </w:r>
      <w:r w:rsidR="00A96262" w:rsidRPr="00666987">
        <w:t>.</w:t>
      </w:r>
      <w:r w:rsidR="00681D3B" w:rsidRPr="00666987">
        <w:br w:type="page"/>
      </w:r>
    </w:p>
    <w:p w:rsidR="00F1589C" w:rsidRPr="0074583B" w:rsidRDefault="005B38A7" w:rsidP="0074583B">
      <w:pPr>
        <w:pStyle w:val="Titre1"/>
      </w:pPr>
      <w:bookmarkStart w:id="120" w:name="_Toc144372020"/>
      <w:bookmarkStart w:id="121" w:name="_Toc144807532"/>
      <w:bookmarkStart w:id="122" w:name="_Toc144807779"/>
      <w:bookmarkStart w:id="123" w:name="_Toc144807898"/>
      <w:bookmarkStart w:id="124" w:name="_Toc225785311"/>
      <w:r w:rsidRPr="0074583B">
        <w:lastRenderedPageBreak/>
        <w:t xml:space="preserve">14 </w:t>
      </w:r>
      <w:r w:rsidR="00F1589C" w:rsidRPr="0074583B">
        <w:t xml:space="preserve">Production </w:t>
      </w:r>
      <w:bookmarkEnd w:id="120"/>
      <w:bookmarkEnd w:id="121"/>
      <w:bookmarkEnd w:id="122"/>
      <w:bookmarkEnd w:id="123"/>
      <w:r w:rsidR="005D41AB">
        <w:t>du compte financier unique</w:t>
      </w:r>
      <w:bookmarkEnd w:id="124"/>
    </w:p>
    <w:p w:rsidR="00BA1884" w:rsidRDefault="00E67389" w:rsidP="00846C9E">
      <w:r>
        <w:t xml:space="preserve">Le compte financier unique est </w:t>
      </w:r>
      <w:r w:rsidR="00BA1884">
        <w:t>un document de synthèse qui présente le « rendu des comptes » à l’issue d’un exercice budgétaire et comptable. Il est établi</w:t>
      </w:r>
      <w:r>
        <w:t xml:space="preserve"> conjointement par l’ordonnateur et le comptable public</w:t>
      </w:r>
      <w:r w:rsidR="00BA1884">
        <w:t>.</w:t>
      </w:r>
      <w:r w:rsidR="007722C9" w:rsidRPr="007722C9">
        <w:t xml:space="preserve"> </w:t>
      </w:r>
      <w:r w:rsidR="007722C9">
        <w:t>Après vérification de la conformité des comptes et des résultats, un flux informatique est adressé par l’ordonnateur au comptable, qui l’enrichit des éléments propres à sa comptabilité avant de le renvoyer à l’ordonnateur, qui peut compléter les derniers éléments (informations générales et synthétiques, annexes). Par exemple, dans l’exécution budgétaire, la « vue d’ensemble » (grands équilibres) est fournie par l’ordonnateur quand la « vue détaillée » provient du comptable.</w:t>
      </w:r>
    </w:p>
    <w:p w:rsidR="00BA1884" w:rsidRDefault="00BA1884" w:rsidP="00BA1884">
      <w:pPr>
        <w:spacing w:after="0"/>
      </w:pPr>
      <w:r>
        <w:t>Le CFU se présente en quatre parties :</w:t>
      </w:r>
    </w:p>
    <w:p w:rsidR="00BA1884" w:rsidRDefault="00501DEA" w:rsidP="00501DEA">
      <w:pPr>
        <w:pStyle w:val="Paragraphedeliste"/>
      </w:pPr>
      <w:r>
        <w:t xml:space="preserve">1 </w:t>
      </w:r>
      <w:r w:rsidR="00BA1884">
        <w:t>Informations générales et synthétiques</w:t>
      </w:r>
    </w:p>
    <w:p w:rsidR="00BA1884" w:rsidRDefault="00501DEA" w:rsidP="00501DEA">
      <w:pPr>
        <w:pStyle w:val="Paragraphedeliste"/>
      </w:pPr>
      <w:r>
        <w:t xml:space="preserve">2 </w:t>
      </w:r>
      <w:r w:rsidR="00BA1884">
        <w:t>Exécution budgétaire</w:t>
      </w:r>
    </w:p>
    <w:p w:rsidR="00BA1884" w:rsidRDefault="00501DEA" w:rsidP="00501DEA">
      <w:pPr>
        <w:pStyle w:val="Paragraphedeliste"/>
      </w:pPr>
      <w:r>
        <w:t xml:space="preserve">3 </w:t>
      </w:r>
      <w:r w:rsidR="00BA1884">
        <w:t>États financiers</w:t>
      </w:r>
    </w:p>
    <w:p w:rsidR="00BA1884" w:rsidRDefault="00501DEA" w:rsidP="00501DEA">
      <w:pPr>
        <w:pStyle w:val="Paragraphedeliste"/>
      </w:pPr>
      <w:r>
        <w:t xml:space="preserve">4 </w:t>
      </w:r>
      <w:r w:rsidR="00BA1884">
        <w:t>États annexés.</w:t>
      </w:r>
    </w:p>
    <w:p w:rsidR="00501DEA" w:rsidRDefault="00501DEA" w:rsidP="00501DEA">
      <w:pPr>
        <w:spacing w:after="0"/>
      </w:pPr>
      <w:r>
        <w:t>1 Les informations générales et synthétiques Informations générales et synthétiques visent à mettre en évidence, dès le début du document, une vue panoramique sur les informations clés sur la situation financière.</w:t>
      </w:r>
    </w:p>
    <w:p w:rsidR="00501DEA" w:rsidRDefault="00501DEA" w:rsidP="00501DEA">
      <w:pPr>
        <w:spacing w:after="0"/>
      </w:pPr>
    </w:p>
    <w:p w:rsidR="00BA1884" w:rsidRDefault="00501DEA" w:rsidP="00BA1884">
      <w:pPr>
        <w:spacing w:after="0"/>
      </w:pPr>
      <w:r>
        <w:t xml:space="preserve">2 </w:t>
      </w:r>
      <w:r w:rsidR="00BA1884">
        <w:t xml:space="preserve">S’agissant des résultats de l'exécution du budget, il compare: </w:t>
      </w:r>
    </w:p>
    <w:p w:rsidR="00BA1884" w:rsidRDefault="00BA1884" w:rsidP="00BA1884">
      <w:pPr>
        <w:pStyle w:val="Paragraphedeliste"/>
        <w:numPr>
          <w:ilvl w:val="0"/>
          <w:numId w:val="46"/>
        </w:numPr>
      </w:pPr>
      <w:r>
        <w:t xml:space="preserve">d'une part, les prévisions ou autorisations se rapportant à chaque chapitre et à chaque article du budget, </w:t>
      </w:r>
    </w:p>
    <w:p w:rsidR="00BA1884" w:rsidRDefault="00BA1884" w:rsidP="00BA1884">
      <w:pPr>
        <w:pStyle w:val="Paragraphedeliste"/>
        <w:numPr>
          <w:ilvl w:val="0"/>
          <w:numId w:val="46"/>
        </w:numPr>
      </w:pPr>
      <w:r>
        <w:t>d'autre part, les réalisations constituées par le total des émissions de titres de recettes et des émissions de mandats correspondant à chaque article budgétaire.</w:t>
      </w:r>
    </w:p>
    <w:p w:rsidR="00BA1884" w:rsidRDefault="00BA1884" w:rsidP="00BA1884">
      <w:r>
        <w:t>Le compte financier unique constate le solde d’exécution de la section d’investissement et le résultat de la section de fonctionnement, ainsi que les restes à réaliser.</w:t>
      </w:r>
    </w:p>
    <w:p w:rsidR="00501DEA" w:rsidRDefault="00501DEA" w:rsidP="00501DEA">
      <w:r>
        <w:t>3 Les états financiers visent à apporter la vision patrimoniale, pour compléter l’exécution budgétaire, ce qui permet d’approfondir les analyses au-delà de la vérification du respect des autorisations budgétaires données. Le bilan et le compte de résultat sont établis par le comptable.</w:t>
      </w:r>
    </w:p>
    <w:p w:rsidR="00501DEA" w:rsidRDefault="00501DEA" w:rsidP="00501DEA">
      <w:r>
        <w:t>4 Les principales annexes concernent la présentation croisée par fonction de l’exécution budgétaire, les états de la dette, les subventions versées, les engagements pris auprès des tiers, le tableau des effectifs, les modalités de l’équilibre budgétaire, la situation des autorisations de programme et d’engagement, ainsi que les engagements hors bilan.</w:t>
      </w:r>
    </w:p>
    <w:p w:rsidR="00501DEA" w:rsidRDefault="00501DEA" w:rsidP="00501DEA">
      <w:r>
        <w:t xml:space="preserve">A Sotteville-lès-Rouen, le compte </w:t>
      </w:r>
      <w:r w:rsidR="007722C9">
        <w:t>financier unique</w:t>
      </w:r>
      <w:r>
        <w:t xml:space="preserve"> est présenté au conseil municipal accompagné d’un rapport.</w:t>
      </w:r>
    </w:p>
    <w:p w:rsidR="00E14D37" w:rsidRDefault="00E14D37" w:rsidP="00846C9E">
      <w:r>
        <w:br w:type="page"/>
      </w:r>
    </w:p>
    <w:p w:rsidR="00F1589C" w:rsidRDefault="002D3106" w:rsidP="0074583B">
      <w:pPr>
        <w:pStyle w:val="Titre1"/>
      </w:pPr>
      <w:bookmarkStart w:id="125" w:name="_Toc144372021"/>
      <w:bookmarkStart w:id="126" w:name="_Toc144807533"/>
      <w:bookmarkStart w:id="127" w:name="_Toc144807780"/>
      <w:bookmarkStart w:id="128" w:name="_Toc144807899"/>
      <w:bookmarkStart w:id="129" w:name="_Toc225785312"/>
      <w:r>
        <w:lastRenderedPageBreak/>
        <w:t>1</w:t>
      </w:r>
      <w:r w:rsidR="00E22741">
        <w:t>5</w:t>
      </w:r>
      <w:r>
        <w:t xml:space="preserve"> </w:t>
      </w:r>
      <w:r w:rsidR="00F16440">
        <w:t>Ecritures</w:t>
      </w:r>
      <w:r w:rsidR="00F1589C">
        <w:t xml:space="preserve"> comptables particulières : </w:t>
      </w:r>
      <w:r>
        <w:t xml:space="preserve">amortissements, provisions, travaux en régie, </w:t>
      </w:r>
      <w:r w:rsidR="00E4493E">
        <w:t>…</w:t>
      </w:r>
      <w:bookmarkEnd w:id="125"/>
      <w:bookmarkEnd w:id="126"/>
      <w:bookmarkEnd w:id="127"/>
      <w:bookmarkEnd w:id="128"/>
      <w:bookmarkEnd w:id="129"/>
    </w:p>
    <w:p w:rsidR="00AD0B5D" w:rsidRDefault="009123B4" w:rsidP="00846C9E">
      <w:r>
        <w:t xml:space="preserve">La comptabilité </w:t>
      </w:r>
      <w:r w:rsidR="008013BA">
        <w:t>publique distingue trois types d’</w:t>
      </w:r>
      <w:r w:rsidR="00F16440">
        <w:t>opérations</w:t>
      </w:r>
      <w:r w:rsidR="00D32BB9">
        <w:rPr>
          <w:rStyle w:val="Appelnotedebasdep"/>
        </w:rPr>
        <w:footnoteReference w:id="26"/>
      </w:r>
      <w:r w:rsidR="008013BA">
        <w:t xml:space="preserve"> comptables dites « budgétaires »,</w:t>
      </w:r>
      <w:r w:rsidR="00AD0B5D">
        <w:t xml:space="preserve"> retracées dans les documents budgétaires : </w:t>
      </w:r>
    </w:p>
    <w:p w:rsidR="00AD0B5D" w:rsidRDefault="00AD0B5D" w:rsidP="00D96094">
      <w:pPr>
        <w:pStyle w:val="Paragraphedeliste"/>
        <w:numPr>
          <w:ilvl w:val="0"/>
          <w:numId w:val="21"/>
        </w:numPr>
        <w:ind w:left="709" w:hanging="283"/>
      </w:pPr>
      <w:r>
        <w:t>l</w:t>
      </w:r>
      <w:r w:rsidR="00941F50">
        <w:t xml:space="preserve">es </w:t>
      </w:r>
      <w:r w:rsidR="00941F50" w:rsidRPr="00AD0B5D">
        <w:rPr>
          <w:b/>
        </w:rPr>
        <w:t>opérations réelles</w:t>
      </w:r>
      <w:r w:rsidR="00941F50">
        <w:t xml:space="preserve"> sont celles qui donnent lieu</w:t>
      </w:r>
      <w:r>
        <w:t xml:space="preserve"> à encaissement ou décaissement ;</w:t>
      </w:r>
    </w:p>
    <w:p w:rsidR="00AD0B5D" w:rsidRDefault="00941F50" w:rsidP="00D96094">
      <w:pPr>
        <w:pStyle w:val="Paragraphedeliste"/>
        <w:numPr>
          <w:ilvl w:val="0"/>
          <w:numId w:val="21"/>
        </w:numPr>
        <w:ind w:left="709" w:hanging="283"/>
      </w:pPr>
      <w:r>
        <w:t xml:space="preserve">Les </w:t>
      </w:r>
      <w:r w:rsidRPr="00AD0B5D">
        <w:rPr>
          <w:b/>
        </w:rPr>
        <w:t>opérations semi-budgétaires</w:t>
      </w:r>
      <w:r>
        <w:t xml:space="preserve"> sont celles qui, sans donner lieu à encaissement ou</w:t>
      </w:r>
      <w:r w:rsidR="00AD0B5D">
        <w:t xml:space="preserve"> </w:t>
      </w:r>
      <w:r>
        <w:t xml:space="preserve">décaissement, se traduisent par </w:t>
      </w:r>
      <w:r w:rsidR="004070CE">
        <w:t>l’émission d’un mandat de</w:t>
      </w:r>
      <w:r>
        <w:t xml:space="preserve"> dépense ou </w:t>
      </w:r>
      <w:r w:rsidR="004070CE">
        <w:t>d’un titre de</w:t>
      </w:r>
      <w:r>
        <w:t xml:space="preserve"> recette de fonctionnement</w:t>
      </w:r>
      <w:r w:rsidR="004070CE">
        <w:t>,</w:t>
      </w:r>
      <w:r>
        <w:t xml:space="preserve"> sans contrepartie</w:t>
      </w:r>
      <w:r w:rsidR="00AD0B5D">
        <w:t xml:space="preserve"> </w:t>
      </w:r>
      <w:r>
        <w:t xml:space="preserve">budgétaire </w:t>
      </w:r>
      <w:r w:rsidR="00AD0B5D">
        <w:t xml:space="preserve">(ex : </w:t>
      </w:r>
      <w:r>
        <w:t>rattachement des produits et des charges</w:t>
      </w:r>
      <w:r w:rsidR="00AD0B5D">
        <w:t>).</w:t>
      </w:r>
      <w:r>
        <w:t xml:space="preserve"> Pour la présenta</w:t>
      </w:r>
      <w:r w:rsidR="00AD0B5D">
        <w:t xml:space="preserve">tion budgétaire, ces opérations </w:t>
      </w:r>
      <w:r>
        <w:t>sont assimilées à des opérations réelles.</w:t>
      </w:r>
      <w:r w:rsidR="00AD0B5D">
        <w:t xml:space="preserve"> </w:t>
      </w:r>
    </w:p>
    <w:p w:rsidR="00941F50" w:rsidRDefault="00AD0B5D" w:rsidP="00D96094">
      <w:pPr>
        <w:pStyle w:val="Paragraphedeliste"/>
        <w:numPr>
          <w:ilvl w:val="0"/>
          <w:numId w:val="21"/>
        </w:numPr>
        <w:ind w:left="709" w:hanging="283"/>
      </w:pPr>
      <w:r>
        <w:t>l</w:t>
      </w:r>
      <w:r w:rsidR="00941F50">
        <w:t xml:space="preserve">es </w:t>
      </w:r>
      <w:r w:rsidR="00941F50" w:rsidRPr="004070CE">
        <w:rPr>
          <w:b/>
        </w:rPr>
        <w:t xml:space="preserve">opérations </w:t>
      </w:r>
      <w:r w:rsidR="004B4203">
        <w:rPr>
          <w:b/>
        </w:rPr>
        <w:t xml:space="preserve">d’ordre budgétaires </w:t>
      </w:r>
      <w:r w:rsidR="004070CE">
        <w:rPr>
          <w:rStyle w:val="Appelnotedebasdep"/>
          <w:b/>
        </w:rPr>
        <w:footnoteReference w:id="27"/>
      </w:r>
      <w:r w:rsidR="004070CE">
        <w:t xml:space="preserve"> </w:t>
      </w:r>
      <w:r w:rsidR="00941F50">
        <w:t>sont celles qui ne donnent lieu à aucun encaissement ni décaissement,</w:t>
      </w:r>
      <w:r>
        <w:t xml:space="preserve"> </w:t>
      </w:r>
      <w:r w:rsidR="00941F50">
        <w:t>mais qui comportent une contrepartie budgétaire</w:t>
      </w:r>
      <w:r w:rsidR="004070CE">
        <w:t> : c’est-à-dire que chaque opération fait</w:t>
      </w:r>
      <w:r w:rsidR="00071DD1">
        <w:t xml:space="preserve"> à la fois l’objet d’un titre et d’un mandat</w:t>
      </w:r>
      <w:r w:rsidR="00941F50">
        <w:t>. Elles s’opèrent soit à l’intérieur d'une même</w:t>
      </w:r>
      <w:r>
        <w:t xml:space="preserve"> </w:t>
      </w:r>
      <w:r w:rsidR="00941F50">
        <w:t xml:space="preserve">section, soit de section à section. </w:t>
      </w:r>
    </w:p>
    <w:p w:rsidR="00071DD1" w:rsidRDefault="00071DD1" w:rsidP="00846C9E">
      <w:r>
        <w:t>Les opérations comptables particulières qui suivent sont pour la plupart des opérations d’ordre</w:t>
      </w:r>
      <w:r w:rsidR="004070CE">
        <w:t xml:space="preserve"> budgétaire</w:t>
      </w:r>
      <w:r w:rsidR="00F16440">
        <w:t>.</w:t>
      </w:r>
    </w:p>
    <w:p w:rsidR="002D3106" w:rsidRDefault="002D3106" w:rsidP="001A393E">
      <w:pPr>
        <w:pStyle w:val="Titre2"/>
      </w:pPr>
      <w:bookmarkStart w:id="130" w:name="_Toc144807900"/>
      <w:bookmarkStart w:id="131" w:name="_Toc225785313"/>
      <w:r>
        <w:t>Amortissements</w:t>
      </w:r>
      <w:bookmarkEnd w:id="130"/>
      <w:bookmarkEnd w:id="131"/>
    </w:p>
    <w:p w:rsidR="00CF359A" w:rsidRDefault="00CF359A" w:rsidP="00846C9E">
      <w:r w:rsidRPr="00DE7C3B">
        <w:rPr>
          <w:b/>
        </w:rPr>
        <w:t>L’amortissement</w:t>
      </w:r>
      <w:r w:rsidRPr="00CF359A">
        <w:t xml:space="preserve"> est une technique comptable qui permet chaque année de faire constater forfaitairement la dépréciation des biens et de dégager une ressource destinée à les renouveler. Ce procédé permet de faire apparaître à l’actif du bilan la valeur réelle des immobilisations et d’étaler dans le temps la charge consécutive à leur remplacement. </w:t>
      </w:r>
      <w:r>
        <w:t>L</w:t>
      </w:r>
      <w:r w:rsidRPr="00CF359A">
        <w:t xml:space="preserve">’amortissement des immobilisations corporelles et incorporelles </w:t>
      </w:r>
      <w:r w:rsidR="00B06BDE">
        <w:t>a le caractère de</w:t>
      </w:r>
      <w:r w:rsidRPr="00CF359A">
        <w:t xml:space="preserve"> dépense obligatoire</w:t>
      </w:r>
      <w:r w:rsidR="00B06BDE">
        <w:rPr>
          <w:rStyle w:val="Appelnotedebasdep"/>
        </w:rPr>
        <w:footnoteReference w:id="28"/>
      </w:r>
      <w:r w:rsidRPr="00CF359A">
        <w:t>.</w:t>
      </w:r>
    </w:p>
    <w:p w:rsidR="00832F69" w:rsidRDefault="00832F69" w:rsidP="00846C9E">
      <w:r>
        <w:t>Les durées d’amortissements et les règles spécifiques à leur calcul font l’objet d’une délibération dédiée qui constitue une annexe au présent règlement budgétaire et financier.</w:t>
      </w:r>
    </w:p>
    <w:p w:rsidR="002D3106" w:rsidRDefault="009B4BC6" w:rsidP="00846C9E">
      <w:r>
        <w:t>Les amortissements sont des opérations d’ordre budgétaire ; elles apparaissent en dépense au chapitre d’ordre 042, et en recettes au chapitre 040 (les amortissements de</w:t>
      </w:r>
      <w:r w:rsidR="00F938C0">
        <w:t xml:space="preserve"> certaines</w:t>
      </w:r>
      <w:r>
        <w:t xml:space="preserve"> subventions d’investissement apparaissent en sens inverse sur les mêmes chapitres). </w:t>
      </w:r>
      <w:r w:rsidR="005B38A7" w:rsidRPr="005B38A7">
        <w:t>Une annexe du compte administratif est dédiée à ces opérations.</w:t>
      </w:r>
    </w:p>
    <w:p w:rsidR="00F1589C" w:rsidRDefault="00F1589C" w:rsidP="001A393E">
      <w:pPr>
        <w:pStyle w:val="Titre2"/>
      </w:pPr>
      <w:bookmarkStart w:id="132" w:name="_Toc144807901"/>
      <w:bookmarkStart w:id="133" w:name="_Toc225785314"/>
      <w:r>
        <w:t>P</w:t>
      </w:r>
      <w:r w:rsidR="0043523D">
        <w:t>rovisions</w:t>
      </w:r>
      <w:bookmarkEnd w:id="132"/>
      <w:bookmarkEnd w:id="133"/>
    </w:p>
    <w:p w:rsidR="00B427B1" w:rsidRDefault="00D257BE" w:rsidP="00846C9E">
      <w:r>
        <w:t xml:space="preserve">Les </w:t>
      </w:r>
      <w:r w:rsidRPr="00DE7C3B">
        <w:rPr>
          <w:b/>
        </w:rPr>
        <w:t>provisions</w:t>
      </w:r>
      <w:r>
        <w:t xml:space="preserve"> </w:t>
      </w:r>
      <w:r w:rsidR="00445472">
        <w:t>permettent de constater les risques et</w:t>
      </w:r>
      <w:r>
        <w:t xml:space="preserve"> </w:t>
      </w:r>
      <w:r w:rsidR="00445472">
        <w:t>l</w:t>
      </w:r>
      <w:r>
        <w:t xml:space="preserve">es </w:t>
      </w:r>
      <w:r w:rsidR="001A17CA">
        <w:t>charges probables</w:t>
      </w:r>
      <w:r>
        <w:t xml:space="preserve"> dont l’échéance ou le montant n’est pas fixé de façon précise.</w:t>
      </w:r>
      <w:r w:rsidR="001A17CA">
        <w:t xml:space="preserve"> </w:t>
      </w:r>
    </w:p>
    <w:p w:rsidR="001A17CA" w:rsidRDefault="002C1216" w:rsidP="00846C9E">
      <w:r>
        <w:lastRenderedPageBreak/>
        <w:t xml:space="preserve">Dès lors que la survenance d'un risque ou d'une charge apparaît comme probable, la collectivité enregistre une </w:t>
      </w:r>
      <w:r w:rsidR="00832F69">
        <w:t xml:space="preserve">provision pour </w:t>
      </w:r>
      <w:r>
        <w:t xml:space="preserve">un montant égal au risque ou à la charge estimée. </w:t>
      </w:r>
      <w:r w:rsidR="00445472">
        <w:t>Cela</w:t>
      </w:r>
      <w:r>
        <w:t xml:space="preserve"> crédite simultanément un compte de bilan pour le même montant. Puis, </w:t>
      </w:r>
      <w:r w:rsidR="00445472">
        <w:t>si</w:t>
      </w:r>
      <w:r>
        <w:t xml:space="preserve"> le risque ou la charge se réalise, la collectivité </w:t>
      </w:r>
      <w:r w:rsidR="00445472">
        <w:t xml:space="preserve">prend en </w:t>
      </w:r>
      <w:r>
        <w:t xml:space="preserve">charge </w:t>
      </w:r>
      <w:r w:rsidR="00445472">
        <w:t xml:space="preserve">la dépense </w:t>
      </w:r>
      <w:r>
        <w:t xml:space="preserve">réelle et effective dans son résultat comptable et budgétaire. En parallèle, </w:t>
      </w:r>
      <w:r w:rsidR="00445472">
        <w:t>une</w:t>
      </w:r>
      <w:r>
        <w:t xml:space="preserve"> reprise de la provision </w:t>
      </w:r>
      <w:r w:rsidR="00445472">
        <w:t xml:space="preserve">antérieure est </w:t>
      </w:r>
      <w:r>
        <w:t>constatée en enregistrant, à hauteur du montant de la provision, un produit et en débitant le compte de bilan mouvementé initialement. La charge comptabilisée au cours de l'exercice de réalisation du risque ou de la charge est ainsi « neutralisée » à hauteur du montant provisionné à l'origine.</w:t>
      </w:r>
      <w:r w:rsidR="009B4BC6" w:rsidRPr="009B4BC6">
        <w:t xml:space="preserve"> </w:t>
      </w:r>
      <w:r w:rsidR="009B4BC6">
        <w:t>Certaines provisions ont le caractère de dépense obligatoire</w:t>
      </w:r>
      <w:r w:rsidR="009B4BC6">
        <w:rPr>
          <w:rStyle w:val="Appelnotedebasdep"/>
        </w:rPr>
        <w:footnoteReference w:id="29"/>
      </w:r>
      <w:r w:rsidR="009B4BC6">
        <w:t>.</w:t>
      </w:r>
    </w:p>
    <w:p w:rsidR="00832F69" w:rsidRDefault="001658A6" w:rsidP="00846C9E">
      <w:r>
        <w:t xml:space="preserve">Les provisions ont un caractère provisoire et leur reprise doit être effectuée dans un délai raisonnable après la survenance du sinistre ou en cas de disparition du risque. Une délibération du conseil municipal est nécessaire pour la constitution, la modification ou la reprise d’une provision. </w:t>
      </w:r>
    </w:p>
    <w:p w:rsidR="001658A6" w:rsidRDefault="001658A6" w:rsidP="00846C9E">
      <w:r w:rsidRPr="00666987">
        <w:rPr>
          <w:u w:val="single"/>
        </w:rPr>
        <w:t>A Sotteville-lès-Rouen, les provisions sont des opérations d’ordre budgétaires</w:t>
      </w:r>
      <w:r>
        <w:rPr>
          <w:rStyle w:val="Appelnotedebasdep"/>
        </w:rPr>
        <w:footnoteReference w:id="30"/>
      </w:r>
      <w:r>
        <w:t xml:space="preserve"> ; elles apparaissent </w:t>
      </w:r>
      <w:r w:rsidRPr="00B06BDE">
        <w:t xml:space="preserve">en dépense au chapitre d’ordre 042, et en recettes au chapitre 040 (les </w:t>
      </w:r>
      <w:r>
        <w:t>reprises</w:t>
      </w:r>
      <w:r w:rsidRPr="00B06BDE">
        <w:t xml:space="preserve"> de </w:t>
      </w:r>
      <w:r>
        <w:t>provision</w:t>
      </w:r>
      <w:r w:rsidRPr="00B06BDE">
        <w:t xml:space="preserve"> apparaissent en sens inverse sur les mêmes chapitres)</w:t>
      </w:r>
      <w:r>
        <w:t xml:space="preserve">. </w:t>
      </w:r>
      <w:r w:rsidRPr="005B38A7">
        <w:t>Une annexe du compte administratif est dédiée à ces opérations.</w:t>
      </w:r>
    </w:p>
    <w:p w:rsidR="00A15E17" w:rsidRDefault="00DA7136" w:rsidP="001A393E">
      <w:pPr>
        <w:pStyle w:val="Titre2"/>
      </w:pPr>
      <w:bookmarkStart w:id="134" w:name="_Toc144807902"/>
      <w:bookmarkStart w:id="135" w:name="_Toc225785315"/>
      <w:r>
        <w:t xml:space="preserve">Production immobilisée </w:t>
      </w:r>
      <w:r w:rsidR="00337DBF">
        <w:t>ou</w:t>
      </w:r>
      <w:r>
        <w:t xml:space="preserve"> t</w:t>
      </w:r>
      <w:r w:rsidR="00A15E17">
        <w:t>ravaux en régie</w:t>
      </w:r>
      <w:bookmarkEnd w:id="134"/>
      <w:bookmarkEnd w:id="135"/>
    </w:p>
    <w:p w:rsidR="00E14D37" w:rsidRDefault="00DE7C3B" w:rsidP="00846C9E">
      <w:r>
        <w:t xml:space="preserve">La </w:t>
      </w:r>
      <w:r w:rsidRPr="00DE7C3B">
        <w:rPr>
          <w:b/>
        </w:rPr>
        <w:t>production immobilisée</w:t>
      </w:r>
      <w:r w:rsidR="002D3106">
        <w:t xml:space="preserve"> </w:t>
      </w:r>
      <w:r>
        <w:t xml:space="preserve">désigne les actions directement mises en œuvre par les services de la collectivité qui enrichissent son patrimoine. Ainsi les travaux d’investissement effectués en régie par la collectivité retracent les fournitures achetées, le matériel loué, et la charge de personnel allouée à l’exécution desdits travaux. </w:t>
      </w:r>
      <w:r w:rsidR="00790D76">
        <w:t>Seulement, au détail, c</w:t>
      </w:r>
      <w:r>
        <w:t>es éléments relèvent de la section de fonctionnement (charges générales ou charges de personnel)</w:t>
      </w:r>
      <w:r w:rsidR="00790D76">
        <w:t> ;</w:t>
      </w:r>
      <w:r>
        <w:t xml:space="preserve"> comme ils enrichissent le patrimoine de la collectivité, des écritures comptables permettent de</w:t>
      </w:r>
      <w:r w:rsidR="00E14D37">
        <w:t xml:space="preserve"> transférer de la section de fonctionnement à la section d’investissement le montant des dépenses de fonctionnement se rapportant à l’exécution de travaux d’investissement </w:t>
      </w:r>
      <w:r w:rsidR="009B4BC6">
        <w:t>effectués en régie par les services de la collectivité</w:t>
      </w:r>
      <w:r w:rsidR="00E14D37">
        <w:t>.</w:t>
      </w:r>
    </w:p>
    <w:p w:rsidR="002D3106" w:rsidRDefault="00E14D37" w:rsidP="00846C9E">
      <w:r>
        <w:t>Ces opérations sont retracées en recettes au chapitre d’ordre 042</w:t>
      </w:r>
      <w:r w:rsidR="00DE7C3B">
        <w:t>, ce qui neutralise l’impact desdits travaux sur la section de fonctionnement,</w:t>
      </w:r>
      <w:r>
        <w:t xml:space="preserve"> et en dépenses au chapitre 040</w:t>
      </w:r>
      <w:r w:rsidR="00DE7C3B">
        <w:t>, ce qui enrichit le patrimoine</w:t>
      </w:r>
      <w:r>
        <w:t>.</w:t>
      </w:r>
      <w:r w:rsidR="00AF74F2">
        <w:t xml:space="preserve"> </w:t>
      </w:r>
      <w:r w:rsidR="002D3106">
        <w:t>Une annexe du compte administratif est dédiée à ces opérations.</w:t>
      </w:r>
    </w:p>
    <w:p w:rsidR="00F1589C" w:rsidRDefault="00F1589C" w:rsidP="001A393E">
      <w:pPr>
        <w:pStyle w:val="Titre2"/>
      </w:pPr>
      <w:bookmarkStart w:id="136" w:name="_Toc144807903"/>
      <w:bookmarkStart w:id="137" w:name="_Toc225785316"/>
      <w:r>
        <w:t>Opérations pour compte de tiers</w:t>
      </w:r>
      <w:bookmarkEnd w:id="136"/>
      <w:bookmarkEnd w:id="137"/>
    </w:p>
    <w:p w:rsidR="00235AD3" w:rsidRDefault="00235AD3" w:rsidP="00846C9E">
      <w:r>
        <w:t>Les opérations pour compte de tiers désignent les travaux mis en œuvre par les services de la co</w:t>
      </w:r>
      <w:r w:rsidR="00880277">
        <w:t>llectivité</w:t>
      </w:r>
      <w:r>
        <w:t xml:space="preserve"> en lieu et place des tiers : ces opérations occasionnent des dépenses qui sont refacturées dans l’année aux tiers bénéficiaires des travaux. </w:t>
      </w:r>
      <w:r w:rsidR="00145D75">
        <w:t>Ces opérations s’appuient sur des arrêtés préfectoraux ou municipaux</w:t>
      </w:r>
      <w:r w:rsidR="00880277">
        <w:t>, et</w:t>
      </w:r>
      <w:r w:rsidR="00145D75">
        <w:t xml:space="preserve"> </w:t>
      </w:r>
      <w:r w:rsidR="001F7692">
        <w:t>relèvent</w:t>
      </w:r>
      <w:r w:rsidR="00145D75">
        <w:t xml:space="preserve"> des pouvoirs de police administrative du Maire.</w:t>
      </w:r>
    </w:p>
    <w:p w:rsidR="001323B8" w:rsidRDefault="001323B8" w:rsidP="00846C9E">
      <w:r w:rsidRPr="001323B8">
        <w:lastRenderedPageBreak/>
        <w:t>Les travaux effectués d’office pour le compte de tiers</w:t>
      </w:r>
      <w:r>
        <w:t xml:space="preserve"> </w:t>
      </w:r>
      <w:r w:rsidRPr="001323B8">
        <w:t xml:space="preserve">ainsi que les facturations correspondantes sont </w:t>
      </w:r>
      <w:r w:rsidR="00071DD1">
        <w:t xml:space="preserve">des opérations réelles </w:t>
      </w:r>
      <w:r w:rsidRPr="001323B8">
        <w:t>retracé</w:t>
      </w:r>
      <w:r w:rsidR="00071DD1">
        <w:t>e</w:t>
      </w:r>
      <w:r w:rsidRPr="001323B8">
        <w:t>s au sein de chapitres spécifiques de la section d’investissement.</w:t>
      </w:r>
      <w:r>
        <w:t xml:space="preserve"> La numérotation du chapitre est composée :</w:t>
      </w:r>
    </w:p>
    <w:p w:rsidR="001323B8" w:rsidRDefault="001323B8" w:rsidP="008F4647">
      <w:pPr>
        <w:pStyle w:val="Paragraphedeliste"/>
        <w:numPr>
          <w:ilvl w:val="0"/>
          <w:numId w:val="43"/>
        </w:numPr>
      </w:pPr>
      <w:r>
        <w:t>du numéro de compte par nature : 454 « Travaux effectués d’office pour le compte de tiers » ;</w:t>
      </w:r>
    </w:p>
    <w:p w:rsidR="001323B8" w:rsidRDefault="001323B8" w:rsidP="008F4647">
      <w:pPr>
        <w:pStyle w:val="Paragraphedeliste"/>
        <w:numPr>
          <w:ilvl w:val="0"/>
          <w:numId w:val="43"/>
        </w:numPr>
      </w:pPr>
      <w:r>
        <w:t>du chiffre 1 pour le chapitre de dépenses ou du chiffre 2 pour le chapitre de recettes ;</w:t>
      </w:r>
    </w:p>
    <w:p w:rsidR="001323B8" w:rsidRDefault="001323B8" w:rsidP="008F4647">
      <w:pPr>
        <w:pStyle w:val="Paragraphedeliste"/>
        <w:numPr>
          <w:ilvl w:val="0"/>
          <w:numId w:val="43"/>
        </w:numPr>
      </w:pPr>
      <w:r>
        <w:t>du numéro d’opération attribué par l’ordonnateur (numéro unique pour les travaux exécutés d’office).</w:t>
      </w:r>
    </w:p>
    <w:p w:rsidR="002D3106" w:rsidRDefault="005B38A7" w:rsidP="00846C9E">
      <w:r w:rsidRPr="005B38A7">
        <w:t>Une annexe du compte administratif est dédiée à ces opérations.</w:t>
      </w:r>
    </w:p>
    <w:p w:rsidR="002D3106" w:rsidRDefault="002D3106" w:rsidP="001A393E">
      <w:pPr>
        <w:pStyle w:val="Titre2"/>
      </w:pPr>
      <w:bookmarkStart w:id="138" w:name="_Toc144807904"/>
      <w:bookmarkStart w:id="139" w:name="_Toc225785317"/>
      <w:r>
        <w:t>Dépenses imprévues</w:t>
      </w:r>
      <w:bookmarkEnd w:id="138"/>
      <w:bookmarkEnd w:id="139"/>
    </w:p>
    <w:p w:rsidR="00880277" w:rsidRDefault="002D3106" w:rsidP="00846C9E">
      <w:r>
        <w:t>La nomenclature comptable ouvre la possibilité d’ouvrir des chapitres budgétaires dits de « dépenses imprévues », en fonctionnement comme en investissement</w:t>
      </w:r>
      <w:r w:rsidR="005B38A7">
        <w:t>, ainsi que la création d’autorisations d’engagement et de programme du même ordre</w:t>
      </w:r>
      <w:r>
        <w:t xml:space="preserve">. Ces chapitres participent à l’équilibre budgétaire mais ne connaissent </w:t>
      </w:r>
      <w:r w:rsidR="00445472">
        <w:t xml:space="preserve">pas </w:t>
      </w:r>
      <w:r>
        <w:t xml:space="preserve">d’exécution. </w:t>
      </w:r>
      <w:r w:rsidR="00445472">
        <w:t>Le cas échéant, d</w:t>
      </w:r>
      <w:r>
        <w:t>es vireme</w:t>
      </w:r>
      <w:r w:rsidR="005B38A7">
        <w:t xml:space="preserve">nts de crédits permettent de mobiliser </w:t>
      </w:r>
      <w:r w:rsidR="00445472">
        <w:t>c</w:t>
      </w:r>
      <w:r w:rsidR="005B38A7">
        <w:t>es fonds</w:t>
      </w:r>
      <w:r w:rsidR="00445472">
        <w:t> ; ces opéra</w:t>
      </w:r>
      <w:r w:rsidR="00E4493E">
        <w:t>t</w:t>
      </w:r>
      <w:r w:rsidR="00445472">
        <w:t xml:space="preserve">ions sont ensuite </w:t>
      </w:r>
      <w:r w:rsidR="005B38A7">
        <w:t>régularis</w:t>
      </w:r>
      <w:r w:rsidR="00445472">
        <w:t xml:space="preserve">ées </w:t>
      </w:r>
      <w:r w:rsidR="00E4493E">
        <w:t>lors</w:t>
      </w:r>
      <w:r w:rsidR="005B38A7">
        <w:t xml:space="preserve"> de la réunion de l’assemblée délibérante</w:t>
      </w:r>
      <w:r w:rsidR="00E4493E">
        <w:t xml:space="preserve"> qui suit</w:t>
      </w:r>
      <w:r w:rsidR="005B38A7">
        <w:t xml:space="preserve">. </w:t>
      </w:r>
    </w:p>
    <w:p w:rsidR="008F4647" w:rsidRDefault="008F4647" w:rsidP="00846C9E">
      <w:r>
        <w:t>Ces dépenses imprévues peuvent également faire l’objet d’autorisation de programme ou d’engagement, qui, le cas échéant, répondraient aux mêmes modes de gestion que les autorisations de programme et d’enga</w:t>
      </w:r>
      <w:r w:rsidR="00AD5113">
        <w:t>gement mentionnées précédemment, dans la limite des spécificités réglementaires propres à ces dispositifs.</w:t>
      </w:r>
    </w:p>
    <w:p w:rsidR="00832F69" w:rsidRDefault="00AD5113" w:rsidP="00846C9E">
      <w:r>
        <w:t>Cependant, c</w:t>
      </w:r>
      <w:r w:rsidR="002D3106" w:rsidRPr="00666987">
        <w:t>es dispositions ne sont pas utilisées à Sotteville-lès-Rouen</w:t>
      </w:r>
      <w:r w:rsidR="002D3106">
        <w:t>.</w:t>
      </w:r>
    </w:p>
    <w:p w:rsidR="00832F69" w:rsidRDefault="00832F69" w:rsidP="00846C9E">
      <w:r>
        <w:br w:type="page"/>
      </w:r>
    </w:p>
    <w:p w:rsidR="006C493E" w:rsidRDefault="00832F69" w:rsidP="0074583B">
      <w:pPr>
        <w:pStyle w:val="Titre1"/>
      </w:pPr>
      <w:bookmarkStart w:id="140" w:name="_Toc144807534"/>
      <w:bookmarkStart w:id="141" w:name="_Toc144807781"/>
      <w:bookmarkStart w:id="142" w:name="_Toc144807905"/>
      <w:bookmarkStart w:id="143" w:name="_Toc225785318"/>
      <w:r>
        <w:lastRenderedPageBreak/>
        <w:t xml:space="preserve">16 </w:t>
      </w:r>
      <w:r w:rsidR="009E24FA">
        <w:t>L</w:t>
      </w:r>
      <w:r>
        <w:t>a gestion patrimoniale</w:t>
      </w:r>
      <w:bookmarkEnd w:id="140"/>
      <w:bookmarkEnd w:id="141"/>
      <w:bookmarkEnd w:id="142"/>
      <w:bookmarkEnd w:id="143"/>
    </w:p>
    <w:p w:rsidR="009E24FA" w:rsidRDefault="009E24FA" w:rsidP="001A393E">
      <w:pPr>
        <w:pStyle w:val="Titre2"/>
      </w:pPr>
      <w:bookmarkStart w:id="144" w:name="_Toc144807906"/>
      <w:bookmarkStart w:id="145" w:name="_Toc225785319"/>
      <w:r>
        <w:t>L’inventaire et l’état de l’actif</w:t>
      </w:r>
      <w:bookmarkEnd w:id="144"/>
      <w:bookmarkEnd w:id="145"/>
    </w:p>
    <w:p w:rsidR="009E24FA" w:rsidRDefault="009E24FA" w:rsidP="00846C9E">
      <w:r>
        <w:t xml:space="preserve">Les immobilisations comprennent tous les biens et valeurs destinés à rester durablement dans le patrimoine de la </w:t>
      </w:r>
      <w:r w:rsidR="008E0496">
        <w:t>collectivité</w:t>
      </w:r>
      <w:r>
        <w:t xml:space="preserve">. Leur suivi est assuré conjointement par l’ordonnateur et le comptable public. Ce suivi conjoint doit permettre d’obtenir un résultat identique, régulier et sincère. </w:t>
      </w:r>
    </w:p>
    <w:p w:rsidR="009E24FA" w:rsidRDefault="009E24FA" w:rsidP="00846C9E">
      <w:r>
        <w:t>La gestion de l’inventaire, registre justifiant la réalité physique des biens, est de la responsabilité de l’ordonnateur, chargé de recenser les biens et de les identifier. L’obl</w:t>
      </w:r>
      <w:r w:rsidR="008E0496">
        <w:t xml:space="preserve">igation de tenir un inventaire </w:t>
      </w:r>
      <w:r>
        <w:t xml:space="preserve">porte sur les biens acquis à compter du 1er janvier 1997. Elle concerne les biens corporels, les biens incorporels, les immobilisations non financières destinées à servir de façon durable l’activité de la collectivité. </w:t>
      </w:r>
      <w:r w:rsidRPr="009E24FA">
        <w:t>Une annexe du compte administratif est dédiée</w:t>
      </w:r>
      <w:r>
        <w:t xml:space="preserve"> aux entrées et sorties de l’inventaire</w:t>
      </w:r>
    </w:p>
    <w:p w:rsidR="009E24FA" w:rsidRDefault="009E24FA" w:rsidP="00846C9E">
      <w:r>
        <w:t>Le comptable public est responsable de l’enregistrement des biens et de leur suivi à l’actif du bilan. A ce titre, il tient l’état de l’actif ainsi que le fichier des immobilisations, documents comptables justifiant les soldes des comptes apparaissant à la balance et au bilan.</w:t>
      </w:r>
    </w:p>
    <w:p w:rsidR="009E24FA" w:rsidRDefault="009E24FA" w:rsidP="00846C9E">
      <w:r>
        <w:t>L’inventaire et l’état de l’actif doivent correspondre : ils font l’objet d’échanges réguliers entre la direction des finances et les services du comptable public afin de fiabiliser leurs données respectives.</w:t>
      </w:r>
    </w:p>
    <w:p w:rsidR="009E24FA" w:rsidRDefault="009E24FA" w:rsidP="001A393E">
      <w:pPr>
        <w:pStyle w:val="Titre2"/>
      </w:pPr>
      <w:bookmarkStart w:id="146" w:name="_Toc144807907"/>
      <w:bookmarkStart w:id="147" w:name="_Toc225785320"/>
      <w:r>
        <w:t>Le traitement des frais d’études et des travaux en cours</w:t>
      </w:r>
      <w:bookmarkEnd w:id="146"/>
      <w:bookmarkEnd w:id="147"/>
      <w:r>
        <w:t xml:space="preserve"> </w:t>
      </w:r>
    </w:p>
    <w:p w:rsidR="009E24FA" w:rsidRDefault="009E24FA" w:rsidP="00846C9E">
      <w:r>
        <w:t>Les frais d’études (chapitre 20) et les travaux en cours (chapitre 23) sont des comptes de transition qui doivent, en fin d’opération, intégrer un compte d’imputation définitive (chapitres 20 ou 21) qui permet de faire la synthèse de la valeur de l’immobilisation.</w:t>
      </w:r>
    </w:p>
    <w:p w:rsidR="009E24FA" w:rsidRDefault="009E24FA" w:rsidP="00846C9E">
      <w:r>
        <w:t>Ainsi, les frais d’études contribuant à la réalisation d’un projet d’investissement sont imputés en compte 2031. Ils doivent être transférés, dès commencement des travaux, à la subdivision concernée du compte de travaux (chapitre 23) par opération d’ordre budgétaire.</w:t>
      </w:r>
    </w:p>
    <w:p w:rsidR="009E24FA" w:rsidRDefault="009E24FA" w:rsidP="00846C9E">
      <w:r>
        <w:t xml:space="preserve">Tant que les études ne sont pas terminées ou que les travaux ne sont pas terminés, elles demeurent inscrites au compte 2031. Si le </w:t>
      </w:r>
      <w:r w:rsidR="002A2DE3">
        <w:t xml:space="preserve">projet est abandonné, elles demeurent sur ce compte de façon définitive. En cas de réalisation des travaux, une fois ceux-ci terminés et l’intégralité des dépenses payées, </w:t>
      </w:r>
      <w:r>
        <w:t>les dépenses du compte de travaux</w:t>
      </w:r>
      <w:r w:rsidR="002A2DE3">
        <w:t xml:space="preserve"> en cours et les frais d’études afférents sont</w:t>
      </w:r>
      <w:r>
        <w:t xml:space="preserve"> transférés au compte d’immobilisation définitive par opération d’ordre non</w:t>
      </w:r>
      <w:r w:rsidR="002A2DE3">
        <w:t xml:space="preserve"> </w:t>
      </w:r>
      <w:r>
        <w:t>budgétaire</w:t>
      </w:r>
      <w:r w:rsidR="002A2DE3">
        <w:t xml:space="preserve"> via des comptes budgétaires intégrés au chapitre 041 : « opérations patrimoniales »</w:t>
      </w:r>
      <w:r>
        <w:t>.</w:t>
      </w:r>
    </w:p>
    <w:p w:rsidR="009E24FA" w:rsidRDefault="002A2DE3" w:rsidP="00846C9E">
      <w:r>
        <w:t>L</w:t>
      </w:r>
      <w:r w:rsidR="009E24FA">
        <w:t xml:space="preserve">e comptable public </w:t>
      </w:r>
      <w:r>
        <w:t xml:space="preserve">est informé </w:t>
      </w:r>
      <w:r w:rsidR="009E24FA">
        <w:t>des opérations via un état récapitulatif des dépenses et des recettes</w:t>
      </w:r>
      <w:r>
        <w:t xml:space="preserve"> </w:t>
      </w:r>
      <w:r w:rsidR="009E24FA">
        <w:t xml:space="preserve">transférées et un certificat administratif. </w:t>
      </w:r>
      <w:r>
        <w:t>Il</w:t>
      </w:r>
      <w:r w:rsidR="009E24FA">
        <w:t xml:space="preserve"> passe </w:t>
      </w:r>
      <w:r>
        <w:t>d</w:t>
      </w:r>
      <w:r w:rsidR="009E24FA">
        <w:t>es écritures non budgétaires dans sa</w:t>
      </w:r>
      <w:r>
        <w:t xml:space="preserve"> </w:t>
      </w:r>
      <w:r w:rsidR="009E24FA">
        <w:t>comptabilité afin de mettre en conformité l’état de l’actif.</w:t>
      </w:r>
    </w:p>
    <w:p w:rsidR="002A2DE3" w:rsidRDefault="002A2DE3" w:rsidP="00846C9E"/>
    <w:p w:rsidR="00832F69" w:rsidRDefault="00832F69" w:rsidP="00846C9E">
      <w:r>
        <w:br w:type="page"/>
      </w:r>
    </w:p>
    <w:p w:rsidR="00677E5F" w:rsidRDefault="009E24FA" w:rsidP="0074583B">
      <w:pPr>
        <w:pStyle w:val="Titre1"/>
      </w:pPr>
      <w:bookmarkStart w:id="148" w:name="_Toc144807535"/>
      <w:bookmarkStart w:id="149" w:name="_Toc144807782"/>
      <w:bookmarkStart w:id="150" w:name="_Toc144807908"/>
      <w:bookmarkStart w:id="151" w:name="_Toc225785321"/>
      <w:r>
        <w:lastRenderedPageBreak/>
        <w:t>17 La dette</w:t>
      </w:r>
      <w:bookmarkEnd w:id="148"/>
      <w:bookmarkEnd w:id="149"/>
      <w:bookmarkEnd w:id="150"/>
      <w:bookmarkEnd w:id="151"/>
      <w:r>
        <w:t xml:space="preserve"> </w:t>
      </w:r>
    </w:p>
    <w:p w:rsidR="00677E5F" w:rsidRDefault="00677E5F" w:rsidP="00846C9E">
      <w:r>
        <w:t>Le recours à l’emprunt et à la gestion de trésorerie constituent une décision du conseil municipal déléguée à la Maire selon les termes de l’article L2211-2 du CGCT.</w:t>
      </w:r>
      <w:r w:rsidR="0001757F">
        <w:t xml:space="preserve"> </w:t>
      </w:r>
      <w:r>
        <w:t>Les dispositions qui suivent font office de</w:t>
      </w:r>
      <w:r w:rsidR="0001757F">
        <w:t xml:space="preserve"> </w:t>
      </w:r>
      <w:r>
        <w:t>règlement de gestion de la dette et de la trésorerie.</w:t>
      </w:r>
    </w:p>
    <w:p w:rsidR="00677E5F" w:rsidRPr="00846C9E" w:rsidRDefault="00677E5F" w:rsidP="00846C9E">
      <w:r>
        <w:t xml:space="preserve">Le recours à l’emprunt constitue une </w:t>
      </w:r>
      <w:r w:rsidRPr="00846C9E">
        <w:t>ressource nécessaire à la réalisation du programme d’investissement.</w:t>
      </w:r>
    </w:p>
    <w:p w:rsidR="00677E5F" w:rsidRDefault="00677E5F" w:rsidP="00846C9E">
      <w:r w:rsidRPr="00846C9E">
        <w:t>Dans un souci de réactivité, le conseil municipal donne délégation à la Maire pour la durée de son mandat afin de mettre en œuvre sa stratégie</w:t>
      </w:r>
      <w:r>
        <w:t xml:space="preserve"> de gestion de la dette et de la trésorerie, et ce, dans les limites fixées ci-après et sous le contrôle de l’assemblée délibérante.</w:t>
      </w:r>
    </w:p>
    <w:p w:rsidR="00677E5F" w:rsidRDefault="00677E5F" w:rsidP="001A393E">
      <w:pPr>
        <w:pStyle w:val="Titre2"/>
      </w:pPr>
      <w:bookmarkStart w:id="152" w:name="_Toc144807909"/>
      <w:bookmarkStart w:id="153" w:name="_Toc225785322"/>
      <w:r>
        <w:t>Réalisation d’emprunts nouveaux</w:t>
      </w:r>
      <w:bookmarkEnd w:id="152"/>
      <w:bookmarkEnd w:id="153"/>
    </w:p>
    <w:p w:rsidR="00677E5F" w:rsidRDefault="00677E5F" w:rsidP="00846C9E">
      <w:r>
        <w:t>La Maire est autorisée à contracter des emprunts en euro, sous forme bancaire et/ou obligataire, pour la réalisation de son programme d’investissements dans la limite des autorisations budgétaires annuelles.</w:t>
      </w:r>
    </w:p>
    <w:p w:rsidR="00677E5F" w:rsidRDefault="00677E5F" w:rsidP="00846C9E">
      <w:r>
        <w:t>Ces opérations doivent s’inscrire dans le cadre suivant :</w:t>
      </w:r>
    </w:p>
    <w:p w:rsidR="00677E5F" w:rsidRDefault="00677E5F" w:rsidP="0001757F">
      <w:pPr>
        <w:spacing w:after="0"/>
      </w:pPr>
      <w:r>
        <w:t xml:space="preserve">- une mise en concurrence préalable de plusieurs établissements bancaires ou financiers devra être envisagée, sauf opportunité particulièrement favorable dont la saisie serait conditionnée par un accord urgent, ce qu’il conviendra de justifier dûment. Le choix de l’organisme retenu s’effectuera : </w:t>
      </w:r>
    </w:p>
    <w:p w:rsidR="00677E5F" w:rsidRDefault="00677E5F" w:rsidP="00846C9E">
      <w:pPr>
        <w:pStyle w:val="Paragraphedeliste"/>
        <w:numPr>
          <w:ilvl w:val="0"/>
          <w:numId w:val="19"/>
        </w:numPr>
      </w:pPr>
      <w:r>
        <w:t xml:space="preserve">sur la base d’un taux comparable incluant notamment les éventuels frais financiers (commissions, primes...), mais également, </w:t>
      </w:r>
    </w:p>
    <w:p w:rsidR="00677E5F" w:rsidRDefault="00677E5F" w:rsidP="00846C9E">
      <w:pPr>
        <w:pStyle w:val="Paragraphedeliste"/>
        <w:numPr>
          <w:ilvl w:val="0"/>
          <w:numId w:val="19"/>
        </w:numPr>
      </w:pPr>
      <w:r>
        <w:t xml:space="preserve">sur l’origine des fonds et leur caractère éco-responsable, </w:t>
      </w:r>
    </w:p>
    <w:p w:rsidR="00677E5F" w:rsidRDefault="00677E5F" w:rsidP="00846C9E">
      <w:pPr>
        <w:pStyle w:val="Paragraphedeliste"/>
        <w:numPr>
          <w:ilvl w:val="0"/>
          <w:numId w:val="19"/>
        </w:numPr>
      </w:pPr>
      <w:r>
        <w:t xml:space="preserve">sur la bonne prise en charge de l’urgence écologique par les organismes prêteurs. </w:t>
      </w:r>
    </w:p>
    <w:p w:rsidR="00677E5F" w:rsidRDefault="00677E5F" w:rsidP="00846C9E">
      <w:r>
        <w:t>Cette mise en concurrence pourra éventuellement se réaliser via des plateformes de financement permettant un élargissement du panel des organismes financiers.</w:t>
      </w:r>
    </w:p>
    <w:p w:rsidR="00505086" w:rsidRDefault="00677E5F" w:rsidP="00846C9E">
      <w:r>
        <w:t xml:space="preserve">- la durée maximale des emprunts ne pourra excéder </w:t>
      </w:r>
      <w:r w:rsidR="009F0985">
        <w:t>40</w:t>
      </w:r>
      <w:r>
        <w:t xml:space="preserve"> ans, l’amortissement pouvant être constant, progressif, in fine ou sur mesure, avec possibilité de différés, </w:t>
      </w:r>
    </w:p>
    <w:p w:rsidR="00677E5F" w:rsidRDefault="00677E5F" w:rsidP="00846C9E">
      <w:r>
        <w:t>- le taux d’intérêt appliqué pourra être fixe, variable ou révisable,</w:t>
      </w:r>
    </w:p>
    <w:p w:rsidR="00677E5F" w:rsidRDefault="00677E5F" w:rsidP="00846C9E">
      <w:r>
        <w:t>- les indices de référence d’un contrat pourront être tout index communément usité</w:t>
      </w:r>
      <w:r w:rsidR="00FF289C">
        <w:t xml:space="preserve"> </w:t>
      </w:r>
      <w:r>
        <w:t>par les marchés financiers et permettant une mise en concurrence des prêteurs :</w:t>
      </w:r>
      <w:r w:rsidR="00FF289C">
        <w:t xml:space="preserve"> </w:t>
      </w:r>
      <w:r>
        <w:t>le taux fixe,</w:t>
      </w:r>
      <w:r w:rsidR="00FF289C">
        <w:t xml:space="preserve"> </w:t>
      </w:r>
      <w:r>
        <w:t>les indices monétaires de la zone Euro (Euribor, Ester, TAM TAG..),</w:t>
      </w:r>
      <w:r w:rsidR="00FF289C">
        <w:t xml:space="preserve"> </w:t>
      </w:r>
      <w:r>
        <w:t>les indices du marché obligataire de la zone Euro (OAT, Bund, etc.),</w:t>
      </w:r>
      <w:r w:rsidR="00FF289C">
        <w:t xml:space="preserve"> </w:t>
      </w:r>
      <w:r>
        <w:t>les taux de swap de la zone Euro et Constant Maturity Swap (CMS),</w:t>
      </w:r>
      <w:r w:rsidR="00FF289C">
        <w:t xml:space="preserve"> </w:t>
      </w:r>
      <w:r>
        <w:t>les taux du livret A.</w:t>
      </w:r>
    </w:p>
    <w:p w:rsidR="00FF289C" w:rsidRDefault="00FF289C" w:rsidP="00846C9E">
      <w:r>
        <w:t>Au regard de la crise du secteur bancaire datant de 2008 et de ses répercussions sur les collectivités territoriales françaises, tout nouvel e</w:t>
      </w:r>
      <w:r w:rsidR="003A3313">
        <w:t>mprunt devra être côté 1A sur la</w:t>
      </w:r>
      <w:r>
        <w:t xml:space="preserve"> charte de Gissler, soit le degré présentant le moins de risque.</w:t>
      </w:r>
    </w:p>
    <w:p w:rsidR="00677E5F" w:rsidRDefault="00677E5F" w:rsidP="001A393E">
      <w:pPr>
        <w:pStyle w:val="Titre2"/>
      </w:pPr>
      <w:bookmarkStart w:id="154" w:name="_Toc144807910"/>
      <w:bookmarkStart w:id="155" w:name="_Toc225785323"/>
      <w:r>
        <w:t>Gestion active de l’encours</w:t>
      </w:r>
      <w:bookmarkEnd w:id="154"/>
      <w:bookmarkEnd w:id="155"/>
    </w:p>
    <w:p w:rsidR="00677E5F" w:rsidRDefault="00677E5F" w:rsidP="00846C9E">
      <w:r>
        <w:t xml:space="preserve">Afin d’optimiser à long terme le coût de financement de la dette, </w:t>
      </w:r>
      <w:r w:rsidR="00FF289C">
        <w:t>la Maire</w:t>
      </w:r>
      <w:r>
        <w:t xml:space="preserve"> est autorisé</w:t>
      </w:r>
      <w:r w:rsidR="00FF289C">
        <w:t>e</w:t>
      </w:r>
      <w:r>
        <w:t xml:space="preserve"> à mener des opérations de réaménagement et de couverture</w:t>
      </w:r>
      <w:r w:rsidR="00FF289C">
        <w:t xml:space="preserve"> </w:t>
      </w:r>
      <w:r>
        <w:t>du risque de taux des emprunts préalablement souscrits. Concernant les opérations utiles à la gestion des emprunts, l</w:t>
      </w:r>
      <w:r w:rsidR="00FF289C">
        <w:t>a</w:t>
      </w:r>
      <w:r>
        <w:t xml:space="preserve"> </w:t>
      </w:r>
      <w:r w:rsidR="00FF289C">
        <w:t>Maire</w:t>
      </w:r>
      <w:r>
        <w:t xml:space="preserve"> est autorisé</w:t>
      </w:r>
      <w:r w:rsidR="00FF289C">
        <w:t>e</w:t>
      </w:r>
      <w:r>
        <w:t xml:space="preserve"> à procéder </w:t>
      </w:r>
      <w:r>
        <w:lastRenderedPageBreak/>
        <w:t>à toute opération de réaménagement de la dette, par renégociation des</w:t>
      </w:r>
      <w:r w:rsidR="00FF289C">
        <w:t xml:space="preserve"> </w:t>
      </w:r>
      <w:r>
        <w:t>clauses contractuelles et/ou conditions de refinancement des capitaux restant</w:t>
      </w:r>
      <w:r w:rsidR="00FF289C">
        <w:t xml:space="preserve"> </w:t>
      </w:r>
      <w:r>
        <w:t>dus et/ou de remboursement anticipé des contrats.</w:t>
      </w:r>
    </w:p>
    <w:p w:rsidR="00677E5F" w:rsidRDefault="00677E5F" w:rsidP="00846C9E">
      <w:r>
        <w:t>Concernant les instruments de couverture des risques de taux</w:t>
      </w:r>
      <w:r w:rsidR="00FF289C">
        <w:t>, la Maire est autorisée à</w:t>
      </w:r>
      <w:r>
        <w:t xml:space="preserve"> conclure, à modifier par avenant ou à résilier des instruments de couverture du</w:t>
      </w:r>
      <w:r w:rsidR="00FF289C">
        <w:t xml:space="preserve"> </w:t>
      </w:r>
      <w:r>
        <w:t>risque de taux tels que les swaps, options sur swap, caps, floors, tunnels, ainsi que</w:t>
      </w:r>
      <w:r w:rsidR="00FF289C">
        <w:t xml:space="preserve"> </w:t>
      </w:r>
      <w:r>
        <w:t>tous les instruments de marchés dérivés des swaps et options de taux</w:t>
      </w:r>
      <w:r w:rsidR="004C6227">
        <w:t>, et ce dès lors que les produits de couverture demeurent simple</w:t>
      </w:r>
      <w:r w:rsidR="001C1179">
        <w:t>s</w:t>
      </w:r>
      <w:r w:rsidR="004C6227">
        <w:t xml:space="preserve"> et ne sont pas structurés</w:t>
      </w:r>
      <w:r w:rsidR="004C6227">
        <w:rPr>
          <w:rStyle w:val="Appelnotedebasdep"/>
        </w:rPr>
        <w:footnoteReference w:id="31"/>
      </w:r>
      <w:r w:rsidR="00AD2EC9">
        <w:t>,</w:t>
      </w:r>
      <w:r w:rsidR="004C6227">
        <w:t xml:space="preserve"> dans le </w:t>
      </w:r>
      <w:r w:rsidR="00AD2EC9">
        <w:t>suivi</w:t>
      </w:r>
      <w:r w:rsidR="004C6227">
        <w:t xml:space="preserve"> </w:t>
      </w:r>
      <w:r>
        <w:t>des dispositions de la circulaire inte</w:t>
      </w:r>
      <w:r w:rsidR="004C6227">
        <w:t>rministérielle du 25 juin 2010.</w:t>
      </w:r>
    </w:p>
    <w:p w:rsidR="00677E5F" w:rsidRDefault="00677E5F" w:rsidP="00846C9E">
      <w:r>
        <w:t>La durée des contrats de couverture ne p</w:t>
      </w:r>
      <w:r w:rsidR="00405ABD">
        <w:t>eut</w:t>
      </w:r>
      <w:r>
        <w:t xml:space="preserve"> excéder la durée résiduelle des</w:t>
      </w:r>
      <w:r w:rsidR="00AD2EC9">
        <w:t xml:space="preserve"> </w:t>
      </w:r>
      <w:r>
        <w:t>emprunts auxquels les opérations sont adossées.</w:t>
      </w:r>
      <w:r w:rsidR="00AD2EC9">
        <w:t xml:space="preserve"> </w:t>
      </w:r>
      <w:r>
        <w:t>En toute hypothèse, les opérations de couverture sont toujours adossées aux emprunts</w:t>
      </w:r>
      <w:r w:rsidR="00AD2EC9">
        <w:t xml:space="preserve"> </w:t>
      </w:r>
      <w:r>
        <w:t>constitutifs de la dette. Le montant de l’encours de la dette sur lequel porte les</w:t>
      </w:r>
      <w:r w:rsidR="00AD2EC9">
        <w:t xml:space="preserve"> </w:t>
      </w:r>
      <w:r>
        <w:t>opérations de couverture ne peut excéder l’encours global de la dette d</w:t>
      </w:r>
      <w:r w:rsidR="00AD2EC9">
        <w:t>e la collectivité</w:t>
      </w:r>
      <w:r>
        <w:t>.</w:t>
      </w:r>
    </w:p>
    <w:p w:rsidR="00677E5F" w:rsidRDefault="00677E5F" w:rsidP="00846C9E">
      <w:r>
        <w:t>Ces opérations ne pourront pas conduire à augmenter le risque, tel que défini par le</w:t>
      </w:r>
      <w:r w:rsidR="00AD2EC9">
        <w:t xml:space="preserve"> </w:t>
      </w:r>
      <w:r>
        <w:t>classement dans la charte Gissler.</w:t>
      </w:r>
    </w:p>
    <w:p w:rsidR="00677E5F" w:rsidRDefault="00677E5F" w:rsidP="001A393E">
      <w:pPr>
        <w:pStyle w:val="Titre2"/>
      </w:pPr>
      <w:bookmarkStart w:id="156" w:name="_Toc144807911"/>
      <w:bookmarkStart w:id="157" w:name="_Toc225785324"/>
      <w:r>
        <w:t>Gestion de la trésorerie</w:t>
      </w:r>
      <w:bookmarkEnd w:id="156"/>
      <w:bookmarkEnd w:id="157"/>
    </w:p>
    <w:p w:rsidR="00677E5F" w:rsidRDefault="00677E5F" w:rsidP="00846C9E">
      <w:r>
        <w:t xml:space="preserve">Concernant les lignes de trésorerie, </w:t>
      </w:r>
      <w:r w:rsidR="00AD2EC9">
        <w:t>le cas échéant, la Maire</w:t>
      </w:r>
      <w:r>
        <w:t xml:space="preserve"> est autorisé</w:t>
      </w:r>
      <w:r w:rsidR="00AD2EC9">
        <w:t>e</w:t>
      </w:r>
      <w:r>
        <w:t xml:space="preserve"> à procéder à la réalisation des lignes de trésorerie après mise en concurrence d’au moins deux</w:t>
      </w:r>
      <w:r w:rsidR="00AD2EC9">
        <w:t xml:space="preserve"> </w:t>
      </w:r>
      <w:r>
        <w:t>établissements bancaires ou financiers</w:t>
      </w:r>
      <w:r w:rsidR="00AD2EC9">
        <w:t>.</w:t>
      </w:r>
    </w:p>
    <w:p w:rsidR="00677E5F" w:rsidRDefault="00677E5F" w:rsidP="001A393E">
      <w:pPr>
        <w:pStyle w:val="Titre2"/>
      </w:pPr>
      <w:bookmarkStart w:id="158" w:name="_Toc144807912"/>
      <w:bookmarkStart w:id="159" w:name="_Toc225785325"/>
      <w:r>
        <w:t xml:space="preserve">Information </w:t>
      </w:r>
      <w:r w:rsidR="00846C9E">
        <w:t>du conseil municipal</w:t>
      </w:r>
      <w:bookmarkEnd w:id="158"/>
      <w:bookmarkEnd w:id="159"/>
    </w:p>
    <w:p w:rsidR="00677E5F" w:rsidRDefault="00846C9E" w:rsidP="00846C9E">
      <w:r>
        <w:t>Le conseil municipal</w:t>
      </w:r>
      <w:r w:rsidR="00677E5F">
        <w:t xml:space="preserve"> est tenue informé de chaque contrat conclu lors de</w:t>
      </w:r>
      <w:r>
        <w:t xml:space="preserve"> </w:t>
      </w:r>
      <w:r w:rsidR="00677E5F">
        <w:t>la séance suivant la réalisation de l’opération. L</w:t>
      </w:r>
      <w:r w:rsidR="00EE5C3A">
        <w:t>a décision prise par la Maire au nom du conseil municipal mentionne les</w:t>
      </w:r>
      <w:r w:rsidR="00677E5F">
        <w:t xml:space="preserve"> principales caractéristiques du</w:t>
      </w:r>
      <w:r>
        <w:t xml:space="preserve"> </w:t>
      </w:r>
      <w:r w:rsidR="00677E5F">
        <w:t>contrat retenu</w:t>
      </w:r>
      <w:r>
        <w:t>.</w:t>
      </w:r>
    </w:p>
    <w:p w:rsidR="00846C9E" w:rsidRDefault="00846C9E" w:rsidP="00846C9E">
      <w:r>
        <w:t>Plusieurs</w:t>
      </w:r>
      <w:r w:rsidRPr="005B38A7">
        <w:t xml:space="preserve"> annexe</w:t>
      </w:r>
      <w:r>
        <w:t>s</w:t>
      </w:r>
      <w:r w:rsidRPr="005B38A7">
        <w:t xml:space="preserve"> du compte administratif </w:t>
      </w:r>
      <w:r>
        <w:t>sont</w:t>
      </w:r>
      <w:r w:rsidRPr="005B38A7">
        <w:t xml:space="preserve"> dédiée</w:t>
      </w:r>
      <w:r>
        <w:t xml:space="preserve">s aux contrats d’emprunts souscrits et à la dette en général. Celle-ci fait également l’objet d’une rubrique au sein du rapport présenté à l’occasion du </w:t>
      </w:r>
      <w:r w:rsidR="00967A1F">
        <w:t>d</w:t>
      </w:r>
      <w:r>
        <w:t xml:space="preserve">ébat d’orientation budgétaire annuel. </w:t>
      </w:r>
    </w:p>
    <w:p w:rsidR="009E24FA" w:rsidRDefault="009E24FA" w:rsidP="00846C9E">
      <w:r>
        <w:br w:type="page"/>
      </w:r>
    </w:p>
    <w:p w:rsidR="00832F69" w:rsidRDefault="00832F69" w:rsidP="0074583B">
      <w:pPr>
        <w:pStyle w:val="Titre1"/>
      </w:pPr>
      <w:bookmarkStart w:id="160" w:name="_Toc144807536"/>
      <w:bookmarkStart w:id="161" w:name="_Toc144807783"/>
      <w:bookmarkStart w:id="162" w:name="_Toc144807913"/>
      <w:bookmarkStart w:id="163" w:name="_Toc225785326"/>
      <w:r>
        <w:lastRenderedPageBreak/>
        <w:t>1</w:t>
      </w:r>
      <w:r w:rsidR="009E24FA">
        <w:t>8</w:t>
      </w:r>
      <w:r>
        <w:t xml:space="preserve"> Les engagements hors bilan</w:t>
      </w:r>
      <w:bookmarkEnd w:id="160"/>
      <w:bookmarkEnd w:id="161"/>
      <w:bookmarkEnd w:id="162"/>
      <w:bookmarkEnd w:id="163"/>
    </w:p>
    <w:p w:rsidR="00D96094" w:rsidRDefault="00D96094" w:rsidP="00776275">
      <w:pPr>
        <w:spacing w:after="0"/>
      </w:pPr>
      <w:r w:rsidRPr="00D96094">
        <w:rPr>
          <w:b/>
        </w:rPr>
        <w:t>Les engagements hors bilan</w:t>
      </w:r>
      <w:r>
        <w:t xml:space="preserve"> désignent les engagements contractés par la collectivité et pouvant générer soit une dépense</w:t>
      </w:r>
      <w:r w:rsidR="00A11D62">
        <w:t>, soit une recette,</w:t>
      </w:r>
      <w:r>
        <w:t xml:space="preserve"> sans que l’on connaisse le moment de la réalisation de cet engagement ou si cet engagement va réellement se concrétiser et/ou que l’on ne soit pas en mesure d’en évaluer le montant.</w:t>
      </w:r>
      <w:r w:rsidR="00A30F55">
        <w:t xml:space="preserve"> </w:t>
      </w:r>
    </w:p>
    <w:p w:rsidR="00D96094" w:rsidRDefault="00D96094" w:rsidP="00D96094">
      <w:pPr>
        <w:spacing w:after="0"/>
      </w:pPr>
      <w:r>
        <w:t xml:space="preserve">La réglementation comptable leur attribue trois caractéristiques : </w:t>
      </w:r>
    </w:p>
    <w:p w:rsidR="00D96094" w:rsidRDefault="00D96094" w:rsidP="00D96094">
      <w:pPr>
        <w:pStyle w:val="Paragraphedeliste"/>
        <w:numPr>
          <w:ilvl w:val="0"/>
          <w:numId w:val="22"/>
        </w:numPr>
      </w:pPr>
      <w:r>
        <w:t xml:space="preserve">des droits et obligations susceptibles de modifier le montant ou la consistance du patrimoine </w:t>
      </w:r>
    </w:p>
    <w:p w:rsidR="00D96094" w:rsidRDefault="00D96094" w:rsidP="00D96094">
      <w:pPr>
        <w:pStyle w:val="Paragraphedeliste"/>
        <w:numPr>
          <w:ilvl w:val="0"/>
          <w:numId w:val="22"/>
        </w:numPr>
      </w:pPr>
      <w:r>
        <w:t xml:space="preserve">des engagements ayant des conséquences financières sur les exercices à venir </w:t>
      </w:r>
    </w:p>
    <w:p w:rsidR="00D96094" w:rsidRDefault="00D96094" w:rsidP="00D96094">
      <w:pPr>
        <w:pStyle w:val="Paragraphedeliste"/>
        <w:numPr>
          <w:ilvl w:val="0"/>
          <w:numId w:val="22"/>
        </w:numPr>
      </w:pPr>
      <w:r>
        <w:t xml:space="preserve"> subordonnés à la réalisation de conditions ou d’opérations ultérieures.</w:t>
      </w:r>
    </w:p>
    <w:p w:rsidR="00764EEA" w:rsidRDefault="00D96094" w:rsidP="00D96094">
      <w:r>
        <w:t>Cette dernière condition est très importante car elle permet de distinguer les engagements hors bilan des provisions pour risques, dans la mesure où bien que le montant ou l’échéance de ces dernières aient un caractère incertain, elles correspondent à une obligation probable</w:t>
      </w:r>
      <w:r w:rsidR="00776275">
        <w:t xml:space="preserve">. </w:t>
      </w:r>
      <w:r w:rsidR="00776275">
        <w:br/>
      </w:r>
      <w:r>
        <w:t>A cet égard, ne sont pris en compte que les engagements présentant un impact financier significatif.</w:t>
      </w:r>
    </w:p>
    <w:p w:rsidR="009E24FA" w:rsidRDefault="00D96094" w:rsidP="001A393E">
      <w:pPr>
        <w:pStyle w:val="Titre2"/>
      </w:pPr>
      <w:bookmarkStart w:id="164" w:name="_Toc144807914"/>
      <w:bookmarkStart w:id="165" w:name="_Toc225785327"/>
      <w:r>
        <w:t>Emprunts garantis</w:t>
      </w:r>
      <w:bookmarkEnd w:id="164"/>
      <w:bookmarkEnd w:id="165"/>
    </w:p>
    <w:p w:rsidR="00776275" w:rsidRDefault="000F13E1" w:rsidP="00776275">
      <w:pPr>
        <w:spacing w:after="0"/>
      </w:pPr>
      <w:r>
        <w:t xml:space="preserve">La </w:t>
      </w:r>
      <w:r w:rsidRPr="00776275">
        <w:rPr>
          <w:b/>
        </w:rPr>
        <w:t>garantie d’emprunt</w:t>
      </w:r>
      <w:r>
        <w:t xml:space="preserve"> est un engagement hors bilan par lequel la collectivité accorde sa caution à un organisme dont elle veut faciliter le recours à l’emprunt en garantissant aux prêteurs le remboursement en cas de défaillance du débiteur. </w:t>
      </w:r>
    </w:p>
    <w:p w:rsidR="000F13E1" w:rsidRDefault="000F13E1" w:rsidP="000F13E1">
      <w:r>
        <w:t>La décision d’octroyer une garantie d’emprunt relève du conseil municipal.</w:t>
      </w:r>
    </w:p>
    <w:p w:rsidR="000F13E1" w:rsidRDefault="000F13E1" w:rsidP="00A30F55">
      <w:pPr>
        <w:spacing w:after="0"/>
      </w:pPr>
      <w:r>
        <w:t xml:space="preserve">Les garanties d’emprunt accordées à des personnes morales de droit privé sont soumises aux dispositions de la loi du 5 janvier 1988 modifiée dite « loi Galland ». Elle impose aux collectivités trois ratios prudentiels </w:t>
      </w:r>
      <w:r w:rsidR="00A30F55">
        <w:t xml:space="preserve">cumulatifs </w:t>
      </w:r>
      <w:r>
        <w:t>conditionnant l’octroi de garanties d’emprunt :</w:t>
      </w:r>
    </w:p>
    <w:p w:rsidR="000F13E1" w:rsidRDefault="000F13E1" w:rsidP="000F13E1">
      <w:pPr>
        <w:pStyle w:val="Paragraphedeliste"/>
        <w:numPr>
          <w:ilvl w:val="0"/>
          <w:numId w:val="23"/>
        </w:numPr>
      </w:pPr>
      <w:r>
        <w:t xml:space="preserve">la règle du potentiel de garantie : le montant de l’annuité de la dette propre ajouté au montant de l’annuité de la dette garantie, y compris la nouvelle annuité garantie, ne doit pas dépasser 50% des recettes réelles de fonctionnement ; </w:t>
      </w:r>
    </w:p>
    <w:p w:rsidR="000F13E1" w:rsidRDefault="000F13E1" w:rsidP="000F13E1">
      <w:pPr>
        <w:pStyle w:val="Paragraphedeliste"/>
        <w:numPr>
          <w:ilvl w:val="0"/>
          <w:numId w:val="23"/>
        </w:numPr>
      </w:pPr>
      <w:r>
        <w:t xml:space="preserve">la règle de division des risques : le volume total des annuités garanties au profit d’un même débiteur ne peut aller au-delà de 10% des annuités pouvant être garanties par la collectivité ; </w:t>
      </w:r>
    </w:p>
    <w:p w:rsidR="000F13E1" w:rsidRDefault="000F13E1" w:rsidP="000F13E1">
      <w:pPr>
        <w:pStyle w:val="Paragraphedeliste"/>
        <w:numPr>
          <w:ilvl w:val="0"/>
          <w:numId w:val="23"/>
        </w:numPr>
      </w:pPr>
      <w:r>
        <w:t xml:space="preserve">la règle du partage des risques : la quotité garantie ne peut couvrir que 50% du montant de l’emprunt contracté par l’organisme demandeur. </w:t>
      </w:r>
      <w:r w:rsidR="00776275">
        <w:t>Ce taux peut être porté à 80% pour des opérations d’aménagement menées en application des articles L.300-1 à L.300-4 du Code de l’Urbanisme.</w:t>
      </w:r>
    </w:p>
    <w:p w:rsidR="00A30F55" w:rsidRDefault="00A30F55" w:rsidP="000F13E1">
      <w:r>
        <w:t>Cependant, i</w:t>
      </w:r>
      <w:r w:rsidR="000F13E1">
        <w:t xml:space="preserve">l est à noter que les limitations introduites par les ratios Galland ne sont pas applicables pour les opérations de construction, acquisition ou amélioration de logements réalisées par les organismes </w:t>
      </w:r>
      <w:r>
        <w:t>HLM</w:t>
      </w:r>
      <w:r w:rsidR="000F13E1">
        <w:t xml:space="preserve"> ou les sociétés d’économie mixte ou subventionnées par l’Etat. </w:t>
      </w:r>
    </w:p>
    <w:p w:rsidR="009F072A" w:rsidRPr="009F072A" w:rsidRDefault="00A30F55" w:rsidP="009F072A">
      <w:r>
        <w:t>Deux</w:t>
      </w:r>
      <w:r w:rsidRPr="00A30F55">
        <w:t xml:space="preserve"> annexe</w:t>
      </w:r>
      <w:r>
        <w:t>s</w:t>
      </w:r>
      <w:r w:rsidRPr="00A30F55">
        <w:t xml:space="preserve"> du compte administratif </w:t>
      </w:r>
      <w:r>
        <w:t>sont</w:t>
      </w:r>
      <w:r w:rsidRPr="00A30F55">
        <w:t xml:space="preserve"> dédiée</w:t>
      </w:r>
      <w:r>
        <w:t>s</w:t>
      </w:r>
      <w:r w:rsidRPr="00A30F55">
        <w:t xml:space="preserve"> à ces opérations</w:t>
      </w:r>
      <w:r>
        <w:t> : la première liste les garanties accordées, la seconde calcule la règle du potentiel de garantie susmentionnée</w:t>
      </w:r>
      <w:r w:rsidRPr="00A30F55">
        <w:t>.</w:t>
      </w:r>
    </w:p>
    <w:p w:rsidR="00F85F22" w:rsidRDefault="00F85F22" w:rsidP="001A393E">
      <w:pPr>
        <w:pStyle w:val="Titre2"/>
      </w:pPr>
      <w:bookmarkStart w:id="166" w:name="_Toc144807915"/>
      <w:bookmarkStart w:id="167" w:name="_Toc225785328"/>
      <w:r>
        <w:t>Engagements auprès de l’</w:t>
      </w:r>
      <w:r w:rsidR="0011524E">
        <w:t>établissement public foncier de Normandie (</w:t>
      </w:r>
      <w:r>
        <w:t>EPFN</w:t>
      </w:r>
      <w:r w:rsidR="0011524E">
        <w:t>)</w:t>
      </w:r>
      <w:bookmarkEnd w:id="167"/>
    </w:p>
    <w:p w:rsidR="00F85F22" w:rsidRDefault="00F85F22" w:rsidP="00F85F22">
      <w:r>
        <w:t xml:space="preserve">La Ville </w:t>
      </w:r>
      <w:r w:rsidR="0011524E">
        <w:t>et</w:t>
      </w:r>
      <w:r w:rsidR="000C63FF">
        <w:t xml:space="preserve"> </w:t>
      </w:r>
      <w:r w:rsidR="0011524E">
        <w:t>l’établissement public foncier</w:t>
      </w:r>
      <w:r w:rsidR="000C63FF">
        <w:t xml:space="preserve"> de Normandie </w:t>
      </w:r>
      <w:r w:rsidR="0011524E">
        <w:t xml:space="preserve">(EPFN) ont établi un partenariat de longue date visant à la mise en œuvre de la stratégie foncière de la Ville. A ce titre, l’EPFN est chargé du portage foncier, c’est-à-dire de la prise en charge </w:t>
      </w:r>
      <w:r w:rsidR="0011524E" w:rsidRPr="0011524E">
        <w:t>des dépenses d’acquisition des terrains néces</w:t>
      </w:r>
      <w:r w:rsidR="00E05C65">
        <w:t xml:space="preserve">saires à la </w:t>
      </w:r>
      <w:r w:rsidR="00E05C65">
        <w:lastRenderedPageBreak/>
        <w:t xml:space="preserve">réalisation d’une </w:t>
      </w:r>
      <w:r w:rsidR="0011524E" w:rsidRPr="0011524E">
        <w:t xml:space="preserve">opération sur une durée relativement longue. Cette technique permet </w:t>
      </w:r>
      <w:r w:rsidR="00E05C65">
        <w:t xml:space="preserve">à la Ville </w:t>
      </w:r>
      <w:r w:rsidR="0011524E" w:rsidRPr="0011524E">
        <w:t xml:space="preserve">de </w:t>
      </w:r>
      <w:r w:rsidR="00E05C65">
        <w:t>constituer une réserve foncière</w:t>
      </w:r>
      <w:r w:rsidR="0011524E" w:rsidRPr="0011524E">
        <w:t>, sans apport financier immédiat.</w:t>
      </w:r>
    </w:p>
    <w:p w:rsidR="00E05C65" w:rsidRDefault="00E05C65" w:rsidP="00F85F22">
      <w:r>
        <w:t xml:space="preserve">L’engagement de la Ville apparaît au sein d’une annexe du compte administratif. </w:t>
      </w:r>
      <w:r w:rsidR="00A772C9">
        <w:br/>
      </w:r>
      <w:r>
        <w:t xml:space="preserve">Il est à noter qu’au sein du bilan annuel des acquisitions et des cessions immobilières, lequel fait l’objet d’une délibération en début d’année, figure la liste </w:t>
      </w:r>
      <w:r w:rsidR="001508AA">
        <w:t xml:space="preserve">détaillée </w:t>
      </w:r>
      <w:r>
        <w:t>des opérations d’acquisition et de cession opérées par l’EPFN au nom de la Ville</w:t>
      </w:r>
      <w:r w:rsidR="001508AA">
        <w:t xml:space="preserve"> dans le cadre de ce portage foncier</w:t>
      </w:r>
      <w:r>
        <w:t xml:space="preserve">. </w:t>
      </w:r>
    </w:p>
    <w:p w:rsidR="00846C9E" w:rsidRDefault="009E24FA" w:rsidP="001A393E">
      <w:pPr>
        <w:pStyle w:val="Titre2"/>
      </w:pPr>
      <w:bookmarkStart w:id="168" w:name="_Toc225785329"/>
      <w:r>
        <w:t xml:space="preserve">Autres </w:t>
      </w:r>
      <w:r w:rsidR="00A30F55">
        <w:t>engagements hors bilan</w:t>
      </w:r>
      <w:bookmarkEnd w:id="166"/>
      <w:bookmarkEnd w:id="168"/>
    </w:p>
    <w:p w:rsidR="00846C9E" w:rsidRDefault="00A30F55" w:rsidP="00776275">
      <w:r>
        <w:t xml:space="preserve">Les autres engagements hors bilan de la collectivité consistent </w:t>
      </w:r>
      <w:r w:rsidR="00776275">
        <w:t>en</w:t>
      </w:r>
      <w:r>
        <w:t xml:space="preserve"> les autorisations de programme et d’engagement, ainsi que les concours accordés à des tiers, vocable qui désigne les subventions accordées mais également les prestations accordées en nature (ex : hébergement d’une association à titre gratuit)</w:t>
      </w:r>
      <w:r w:rsidR="00A11D62">
        <w:t>. Y figurent également, en recette, les accords de financement pour les autorisations de programme dont la réalisation est éloignée dans le temps.</w:t>
      </w:r>
      <w:r w:rsidR="00846C9E">
        <w:br w:type="page"/>
      </w:r>
    </w:p>
    <w:p w:rsidR="009E24FA" w:rsidRDefault="00846C9E" w:rsidP="000F13E1">
      <w:pPr>
        <w:pStyle w:val="Titre1"/>
      </w:pPr>
      <w:bookmarkStart w:id="169" w:name="_Toc144807537"/>
      <w:bookmarkStart w:id="170" w:name="_Toc144807784"/>
      <w:bookmarkStart w:id="171" w:name="_Toc144807916"/>
      <w:bookmarkStart w:id="172" w:name="_Toc225785330"/>
      <w:r>
        <w:lastRenderedPageBreak/>
        <w:t xml:space="preserve">19 </w:t>
      </w:r>
      <w:r w:rsidR="000364D5">
        <w:t>Les r</w:t>
      </w:r>
      <w:r>
        <w:t>atios financi</w:t>
      </w:r>
      <w:r w:rsidR="000F13E1">
        <w:t>ers</w:t>
      </w:r>
      <w:r w:rsidR="000364D5">
        <w:t> : lexique</w:t>
      </w:r>
      <w:bookmarkEnd w:id="169"/>
      <w:bookmarkEnd w:id="170"/>
      <w:bookmarkEnd w:id="171"/>
      <w:bookmarkEnd w:id="172"/>
    </w:p>
    <w:p w:rsidR="005F4120" w:rsidRDefault="005F4120" w:rsidP="005F4120">
      <w:r>
        <w:t xml:space="preserve">Les ratios financiers </w:t>
      </w:r>
      <w:r w:rsidR="000364D5">
        <w:t>s’appuient sur un certain nombre de notions qu’il convient d’énumérer.</w:t>
      </w:r>
    </w:p>
    <w:p w:rsidR="005F4120" w:rsidRDefault="005F4120" w:rsidP="001A393E">
      <w:pPr>
        <w:pStyle w:val="Titre2"/>
      </w:pPr>
      <w:bookmarkStart w:id="173" w:name="_Toc144807917"/>
      <w:bookmarkStart w:id="174" w:name="_Toc225785331"/>
      <w:r>
        <w:t>Population totale, municipale, comptée à part, et population DGF</w:t>
      </w:r>
      <w:bookmarkEnd w:id="173"/>
      <w:bookmarkEnd w:id="174"/>
    </w:p>
    <w:p w:rsidR="005F4120" w:rsidRDefault="00B5502C" w:rsidP="005F4120">
      <w:pPr>
        <w:spacing w:after="0"/>
      </w:pPr>
      <w:r>
        <w:t>Dans le recensement de la population, la « </w:t>
      </w:r>
      <w:r w:rsidRPr="005F4120">
        <w:rPr>
          <w:b/>
        </w:rPr>
        <w:t>population totale</w:t>
      </w:r>
      <w:r>
        <w:t xml:space="preserve"> » est égale à la </w:t>
      </w:r>
      <w:r w:rsidRPr="000364D5">
        <w:rPr>
          <w:b/>
        </w:rPr>
        <w:t>« population municipale »</w:t>
      </w:r>
      <w:r>
        <w:t xml:space="preserve"> augmentée de la </w:t>
      </w:r>
      <w:r w:rsidRPr="000364D5">
        <w:rPr>
          <w:b/>
        </w:rPr>
        <w:t>« population comptée à part »</w:t>
      </w:r>
      <w:r>
        <w:t>, c’est-à-dire les personnes recensées sur d’autres communes mais qui ont conservé un lien avec une résidence sur la commune (par exemple les étudiants). Pour le calcul des dotations on inclut ces habitants comptés à part ; on considère en effet que ces personnes pèsent sur le budget de fonctionnement de la commune même si elles résident habituellement dans une autre commune.</w:t>
      </w:r>
    </w:p>
    <w:p w:rsidR="00776275" w:rsidRDefault="005F4120" w:rsidP="005F4120">
      <w:r>
        <w:t>Hormis les ratios relatifs aux communes touristiques, l</w:t>
      </w:r>
      <w:r w:rsidR="00B5502C">
        <w:t>es ratios sont calculés par rapport à la population totale</w:t>
      </w:r>
      <w:r>
        <w:t xml:space="preserve">. </w:t>
      </w:r>
    </w:p>
    <w:p w:rsidR="005F4120" w:rsidRDefault="005F4120" w:rsidP="005F4120">
      <w:pPr>
        <w:spacing w:after="0"/>
      </w:pPr>
      <w:r w:rsidRPr="005F4120">
        <w:rPr>
          <w:b/>
        </w:rPr>
        <w:t>La population DGF</w:t>
      </w:r>
      <w:r>
        <w:t xml:space="preserve"> désigne un autre calcul. En effet, pour tenir compte des conditions particulières de certaines communes, qui pèsent sur leur fonctionnement, la population totale est, en plus, majorée en fonction de deux critères particuliers. Il ne s’agit plus d’habitants « réels » recensés, mais d’une attribution forfaitaire exprimée en nombre d’habitants par commodité de calcul</w:t>
      </w:r>
      <w:r w:rsidR="000364D5">
        <w:t>. Ainsi</w:t>
      </w:r>
      <w:r>
        <w:t> :</w:t>
      </w:r>
    </w:p>
    <w:p w:rsidR="005F4120" w:rsidRDefault="000364D5" w:rsidP="005F4120">
      <w:pPr>
        <w:pStyle w:val="Paragraphedeliste"/>
        <w:numPr>
          <w:ilvl w:val="0"/>
          <w:numId w:val="24"/>
        </w:numPr>
      </w:pPr>
      <w:r>
        <w:t xml:space="preserve">il existe une </w:t>
      </w:r>
      <w:r w:rsidR="005F4120">
        <w:t>majoration en fonction du nombre de résidences secondaires : la population totale issue du recensement est forfaitairement majorée d’un habitant par résidence secondaire. Elles sont particulièrement nombreuses dans les zones touristiques. Cela aboutit à majorer la population nationale à ce titre d’un forfait de plu</w:t>
      </w:r>
      <w:r>
        <w:t>s de 3 millions « d’habitants » ;</w:t>
      </w:r>
    </w:p>
    <w:p w:rsidR="005F4120" w:rsidRDefault="000364D5" w:rsidP="005F4120">
      <w:pPr>
        <w:pStyle w:val="Paragraphedeliste"/>
        <w:numPr>
          <w:ilvl w:val="0"/>
          <w:numId w:val="24"/>
        </w:numPr>
      </w:pPr>
      <w:r>
        <w:t xml:space="preserve">il existe une </w:t>
      </w:r>
      <w:r w:rsidR="005F4120">
        <w:t xml:space="preserve">majoration pour places de caravanes dans les aires d’accueil des gens du voyage. Selon la même logique, la population totale est majorée d’un habitant par place de caravane située sur une aire d’accueil des gens du voyage. La majoration de population est portée à deux habitants par place de caravane pour les communes éligibles l’année précédente à la dotation de solidarité urbaine </w:t>
      </w:r>
      <w:r w:rsidR="00F85F22">
        <w:t xml:space="preserve">et de cohésion sociale </w:t>
      </w:r>
      <w:r w:rsidR="005F4120">
        <w:t>(DSU) ou à la première fraction (bourg-centre) de la dotation de solidarité rurale (DSR). Les caravanes de campings dans le cadre de l’hôtellerie de plein air ne sont pas concernées</w:t>
      </w:r>
      <w:r>
        <w:t>.</w:t>
      </w:r>
    </w:p>
    <w:p w:rsidR="005F4120" w:rsidRDefault="005F4120" w:rsidP="005F4120">
      <w:r>
        <w:t xml:space="preserve">Une fois effectuées ces deux majorations de la population totale, on obtient une population forfaitaire, dite « population DGF », car utilisée pour calculer la principale dotation </w:t>
      </w:r>
      <w:r w:rsidR="000364D5">
        <w:t xml:space="preserve">de fonctionnement </w:t>
      </w:r>
      <w:r>
        <w:t xml:space="preserve">que </w:t>
      </w:r>
      <w:r w:rsidR="000364D5">
        <w:t>verse l’État aux collectivités</w:t>
      </w:r>
      <w:r>
        <w:t>, la dotation globale de fonctionnement (DGF)</w:t>
      </w:r>
      <w:r w:rsidR="007530D6">
        <w:t>.</w:t>
      </w:r>
    </w:p>
    <w:p w:rsidR="00FD27B9" w:rsidRDefault="00392057" w:rsidP="001A393E">
      <w:pPr>
        <w:pStyle w:val="Titre2"/>
      </w:pPr>
      <w:bookmarkStart w:id="175" w:name="_Toc144807918"/>
      <w:bookmarkStart w:id="176" w:name="_Toc225785332"/>
      <w:r>
        <w:t>Notions financières</w:t>
      </w:r>
      <w:bookmarkEnd w:id="175"/>
      <w:bookmarkEnd w:id="176"/>
    </w:p>
    <w:p w:rsidR="00392057" w:rsidRDefault="00392057" w:rsidP="009507AF">
      <w:r w:rsidRPr="00392057">
        <w:rPr>
          <w:b/>
        </w:rPr>
        <w:t>Les dépenses réelles de fonctionnement</w:t>
      </w:r>
      <w:r>
        <w:t xml:space="preserve"> s'entendent de l'ensemble des dépenses de l'exercice budgétaire entraînant des mouvements réels. En sont exclues les charges transférées en section d'investissement (ex</w:t>
      </w:r>
      <w:r w:rsidR="00EE5C3A">
        <w:t> :</w:t>
      </w:r>
      <w:r>
        <w:t xml:space="preserve"> </w:t>
      </w:r>
      <w:r w:rsidR="00310559">
        <w:t>travaux en régie</w:t>
      </w:r>
      <w:r>
        <w:t>).</w:t>
      </w:r>
    </w:p>
    <w:p w:rsidR="00392057" w:rsidRDefault="00392057" w:rsidP="009507AF">
      <w:r w:rsidRPr="00392057">
        <w:rPr>
          <w:b/>
        </w:rPr>
        <w:t>Les recettes réelles de fonctionnement</w:t>
      </w:r>
      <w:r>
        <w:t xml:space="preserve"> s'entendent de l'ensemble des recettes de fonctionnement de l'exercice entraînant des mouvements réels.</w:t>
      </w:r>
    </w:p>
    <w:p w:rsidR="00310559" w:rsidRDefault="00310559" w:rsidP="009507AF">
      <w:r w:rsidRPr="00310559">
        <w:rPr>
          <w:b/>
        </w:rPr>
        <w:t>L’épargne brute</w:t>
      </w:r>
      <w:r>
        <w:t xml:space="preserve"> correspond à l’excédent des recettes réelles de fonctionnement sur les dépenses réelles de fonctionnement hors travaux en régie</w:t>
      </w:r>
      <w:r w:rsidR="00B10838">
        <w:t xml:space="preserve"> et hors produit des cessions (compte 775)</w:t>
      </w:r>
      <w:r>
        <w:t>. Appelée aussi “autofinancement brut”, l'épargne brute est affectée à la couverture d'une partie des dépenses d'investissement (en priorité, le remboursement de la dette, et pour le surplus, les dépenses d’équipement).</w:t>
      </w:r>
    </w:p>
    <w:p w:rsidR="00310559" w:rsidRDefault="00310559" w:rsidP="009507AF">
      <w:r w:rsidRPr="00310559">
        <w:rPr>
          <w:b/>
        </w:rPr>
        <w:lastRenderedPageBreak/>
        <w:t xml:space="preserve">L’épargne nette </w:t>
      </w:r>
      <w:r>
        <w:t>correspond à l’épargne brute après déduction des remboursements de dette. Elle mesure l'épargne disponible pour l'équipement brut après financement des remboursements de dette.</w:t>
      </w:r>
    </w:p>
    <w:p w:rsidR="00310559" w:rsidRDefault="00310559" w:rsidP="009507AF">
      <w:r w:rsidRPr="00310559">
        <w:rPr>
          <w:b/>
        </w:rPr>
        <w:t xml:space="preserve">Le potentiel fiscal </w:t>
      </w:r>
      <w:r>
        <w:t xml:space="preserve">est un indicateur de richesse fiscale, défini à l’article L.2334-4 du code général des collectivités territoriales. Le potentiel fiscal d'une commune est égal à la somme que produiraient les taxes directes de cette collectivité si l’on appliquait aux bases communales de ces taxes le taux moyen national d’imposition </w:t>
      </w:r>
      <w:r w:rsidR="004D39E7">
        <w:t>pour chacune de ces taxes</w:t>
      </w:r>
      <w:r>
        <w:t>.</w:t>
      </w:r>
    </w:p>
    <w:p w:rsidR="00310559" w:rsidRDefault="00310559" w:rsidP="009507AF">
      <w:r w:rsidRPr="00310559">
        <w:rPr>
          <w:b/>
        </w:rPr>
        <w:t>Le potentiel financier</w:t>
      </w:r>
      <w:r>
        <w:t xml:space="preserve"> est la notion qui remplace désormais celle de potentiel fiscal pour la répartition des dotations de péréquation de la DGF des communes</w:t>
      </w:r>
      <w:r w:rsidR="009507AF">
        <w:rPr>
          <w:rStyle w:val="Appelnotedebasdep"/>
        </w:rPr>
        <w:footnoteReference w:id="32"/>
      </w:r>
      <w:r>
        <w:t xml:space="preserve">. </w:t>
      </w:r>
      <w:r w:rsidR="009507AF">
        <w:t>L</w:t>
      </w:r>
      <w:r>
        <w:t>e potentiel financier est égal au potentiel fiscal de la collectivité auquel sont ajoutées les dotations récurrentes de l’État.</w:t>
      </w:r>
    </w:p>
    <w:p w:rsidR="00392057" w:rsidRDefault="00392057" w:rsidP="009507AF">
      <w:r w:rsidRPr="00310559">
        <w:rPr>
          <w:b/>
        </w:rPr>
        <w:t>Les impositions directes</w:t>
      </w:r>
      <w:r>
        <w:t xml:space="preserve"> comprennent la taxe d'habitation, la taxe foncière sur les propriétés bâties, la taxe foncière sur les propriétés non bâties et, le cas échéant, la taxe professionnelle ;</w:t>
      </w:r>
    </w:p>
    <w:p w:rsidR="00392057" w:rsidRDefault="00310559" w:rsidP="009507AF">
      <w:r w:rsidRPr="00310559">
        <w:rPr>
          <w:b/>
        </w:rPr>
        <w:t>L</w:t>
      </w:r>
      <w:r w:rsidR="00392057" w:rsidRPr="00310559">
        <w:rPr>
          <w:b/>
        </w:rPr>
        <w:t>es dépenses d'équipement brut</w:t>
      </w:r>
      <w:r w:rsidR="00392057">
        <w:t xml:space="preserve"> comprennent les acquisitions de biens meubles et immeubles, les travaux en cours, les immobilisations incorporelles, les travaux d'investissement en régie et les opérations pour compte de tiers ;</w:t>
      </w:r>
    </w:p>
    <w:p w:rsidR="00392057" w:rsidRDefault="00392057" w:rsidP="009507AF">
      <w:r w:rsidRPr="00B10838">
        <w:rPr>
          <w:b/>
        </w:rPr>
        <w:t>Le coefficient de mobilisation du potentiel fiscal</w:t>
      </w:r>
      <w:r>
        <w:t xml:space="preserve"> correspond</w:t>
      </w:r>
      <w:r w:rsidR="00B10838">
        <w:t xml:space="preserve"> </w:t>
      </w:r>
      <w:r>
        <w:t>au rapport entre les produits des contributions directes, à l'exclusion de la taxe professionnelle, et le potentiel fiscal mentionné à l'article L. 2334-5</w:t>
      </w:r>
      <w:r w:rsidR="00B10838">
        <w:rPr>
          <w:rStyle w:val="Appelnotedebasdep"/>
        </w:rPr>
        <w:footnoteReference w:id="33"/>
      </w:r>
      <w:r>
        <w:t>.</w:t>
      </w:r>
    </w:p>
    <w:p w:rsidR="00FD27B9" w:rsidRDefault="00B10838" w:rsidP="009507AF">
      <w:r w:rsidRPr="00B10838">
        <w:rPr>
          <w:b/>
        </w:rPr>
        <w:t>L’annuité de la dette</w:t>
      </w:r>
      <w:r>
        <w:t xml:space="preserve"> est composée du montant des intérêts des emprunts, qui constituent une des charges de la section fonctionnement, et du montant du remboursement du capital qui figure parmi les dépenses d’investissement ; </w:t>
      </w:r>
      <w:r w:rsidRPr="00B10838">
        <w:rPr>
          <w:b/>
        </w:rPr>
        <w:t>l’annuité en capital de la dette</w:t>
      </w:r>
      <w:r>
        <w:t xml:space="preserve"> désigne </w:t>
      </w:r>
      <w:r w:rsidR="00EE5C3A">
        <w:t xml:space="preserve">exclusivement </w:t>
      </w:r>
      <w:r>
        <w:t xml:space="preserve">le remboursement annuel du capital de dette, </w:t>
      </w:r>
      <w:r w:rsidR="00EE5C3A">
        <w:t>hors</w:t>
      </w:r>
      <w:r>
        <w:t xml:space="preserve"> charges d’intérêt des emprunts.</w:t>
      </w:r>
    </w:p>
    <w:p w:rsidR="00C545FA" w:rsidRDefault="00C545FA" w:rsidP="009507AF">
      <w:r w:rsidRPr="00C545FA">
        <w:rPr>
          <w:b/>
        </w:rPr>
        <w:t>L’encours de dette</w:t>
      </w:r>
      <w:r>
        <w:t xml:space="preserve"> désigne le capital restant dû au 31 décembre de l’exercice.</w:t>
      </w:r>
    </w:p>
    <w:p w:rsidR="009507AF" w:rsidRDefault="009507AF" w:rsidP="009507AF">
      <w:r w:rsidRPr="009507AF">
        <w:rPr>
          <w:b/>
        </w:rPr>
        <w:t>Le fonds de roulement initial</w:t>
      </w:r>
      <w:r>
        <w:t xml:space="preserve"> est la somme algébrique de l’excédent ou du déficit reporté en fonctionnement, du solde d’exécution en investissement et de l’excédent de fonctionnement capitalisé. Le fonds de roulement correspond à l’excédent des ressources stables sur les emplois stables du bilan. Il vise à compenser les décalages entre l’encaissement des recettes et le paiement des dépenses.</w:t>
      </w:r>
    </w:p>
    <w:p w:rsidR="00776275" w:rsidRDefault="00776275">
      <w:pPr>
        <w:jc w:val="left"/>
      </w:pPr>
    </w:p>
    <w:p w:rsidR="000F13E1" w:rsidRDefault="000F13E1">
      <w:pPr>
        <w:jc w:val="left"/>
      </w:pPr>
      <w:r>
        <w:br w:type="page"/>
      </w:r>
    </w:p>
    <w:p w:rsidR="000364D5" w:rsidRDefault="000364D5" w:rsidP="000364D5">
      <w:pPr>
        <w:pStyle w:val="Titre1"/>
      </w:pPr>
      <w:bookmarkStart w:id="177" w:name="_Toc144807538"/>
      <w:bookmarkStart w:id="178" w:name="_Toc144807785"/>
      <w:bookmarkStart w:id="179" w:name="_Toc144807919"/>
      <w:bookmarkStart w:id="180" w:name="_Toc225785333"/>
      <w:r>
        <w:lastRenderedPageBreak/>
        <w:t xml:space="preserve">20 Les ratios financiers : </w:t>
      </w:r>
      <w:r w:rsidR="009507AF">
        <w:t>définitions</w:t>
      </w:r>
      <w:bookmarkEnd w:id="177"/>
      <w:bookmarkEnd w:id="178"/>
      <w:bookmarkEnd w:id="179"/>
      <w:bookmarkEnd w:id="180"/>
    </w:p>
    <w:p w:rsidR="009507AF" w:rsidRDefault="009507AF" w:rsidP="001A393E">
      <w:pPr>
        <w:pStyle w:val="Titre2"/>
      </w:pPr>
      <w:bookmarkStart w:id="181" w:name="_Toc144807920"/>
      <w:bookmarkStart w:id="182" w:name="_Toc225785334"/>
      <w:r>
        <w:t>Les ratios obligatoires</w:t>
      </w:r>
      <w:bookmarkEnd w:id="181"/>
      <w:bookmarkEnd w:id="182"/>
    </w:p>
    <w:p w:rsidR="009507AF" w:rsidRDefault="009507AF" w:rsidP="009507AF">
      <w:r>
        <w:t xml:space="preserve">Le CGCT prévoit dix ratio obligatoires figurant dans les informations financières des documents budgétaires : </w:t>
      </w:r>
    </w:p>
    <w:p w:rsidR="009507AF" w:rsidRDefault="006F2B8C" w:rsidP="0055683E">
      <w:r>
        <w:rPr>
          <w:b/>
        </w:rPr>
        <w:t>1.</w:t>
      </w:r>
      <w:r w:rsidR="0055683E" w:rsidRPr="006F2B8C">
        <w:rPr>
          <w:b/>
        </w:rPr>
        <w:t>Les dépenses par habitant</w:t>
      </w:r>
      <w:r w:rsidR="0055683E">
        <w:t xml:space="preserve"> : ce ratio permet de connaître la charge en terme de dépense de fonctionnement que représente un habitant de la collectivité locale. </w:t>
      </w:r>
      <w:r w:rsidR="00A24139">
        <w:br/>
      </w:r>
      <w:r w:rsidR="0055683E">
        <w:t>Mode de calcul : d</w:t>
      </w:r>
      <w:r w:rsidR="009507AF">
        <w:t>épenses réelles de fonctionnement (DRF)/population</w:t>
      </w:r>
      <w:r w:rsidR="0055683E">
        <w:t xml:space="preserve">. </w:t>
      </w:r>
      <w:r w:rsidR="009507AF">
        <w:t>Les dépenses liées à des travaux en régie (crédit du compte 72) sont soustraites.</w:t>
      </w:r>
    </w:p>
    <w:p w:rsidR="009507AF" w:rsidRDefault="006F2B8C" w:rsidP="00A24139">
      <w:r>
        <w:rPr>
          <w:b/>
        </w:rPr>
        <w:t>2.</w:t>
      </w:r>
      <w:r w:rsidR="00A24139" w:rsidRPr="006F2B8C">
        <w:rPr>
          <w:b/>
        </w:rPr>
        <w:t>Le produit de la fiscalité directe  par habitant</w:t>
      </w:r>
      <w:r>
        <w:rPr>
          <w:b/>
        </w:rPr>
        <w:t xml:space="preserve"> </w:t>
      </w:r>
      <w:r w:rsidRPr="006F2B8C">
        <w:rPr>
          <w:b/>
        </w:rPr>
        <w:t>(hors fiscalité reversée)</w:t>
      </w:r>
      <w:r w:rsidR="00A24139">
        <w:t xml:space="preserve"> : ce ratio révèle les recettes fiscales produites par un habitant au sein de la collectivité locale. </w:t>
      </w:r>
      <w:r w:rsidR="00A24139">
        <w:br/>
        <w:t xml:space="preserve">Mode de calcul : </w:t>
      </w:r>
      <w:r w:rsidR="009507AF">
        <w:t xml:space="preserve">Produit des impositions directes/population </w:t>
      </w:r>
    </w:p>
    <w:p w:rsidR="009507AF" w:rsidRDefault="006F2B8C" w:rsidP="0055683E">
      <w:r>
        <w:rPr>
          <w:b/>
        </w:rPr>
        <w:t>2bis.</w:t>
      </w:r>
      <w:r w:rsidR="00A24139" w:rsidRPr="006F2B8C">
        <w:rPr>
          <w:b/>
        </w:rPr>
        <w:t>Le produit fiscal par habitant (y compris fiscalité reversée)</w:t>
      </w:r>
      <w:r w:rsidR="00A24139">
        <w:t xml:space="preserve">: ce ratio révèle les recettes fiscales produites par un habitant au sein de la collectivité locale. </w:t>
      </w:r>
      <w:r w:rsidR="009507AF">
        <w:t>En plus des impositions directes, ce ratio intègre les prélèvements pour reversements de fiscalité et la fiscalité reversée aux communes par les groupements à fiscalité propre.</w:t>
      </w:r>
    </w:p>
    <w:p w:rsidR="009507AF" w:rsidRDefault="006F2B8C" w:rsidP="00A24139">
      <w:r>
        <w:rPr>
          <w:b/>
        </w:rPr>
        <w:t>3.</w:t>
      </w:r>
      <w:r w:rsidR="00A24139" w:rsidRPr="006F2B8C">
        <w:rPr>
          <w:b/>
        </w:rPr>
        <w:t>Les recettes par habitant :</w:t>
      </w:r>
      <w:r w:rsidR="00A24139">
        <w:t xml:space="preserve"> ce ratio estime les recettes de fonctionnement produites par un habitant au sein de la collectivité locale. Il s’agit des ressources dont dispose la collectivité, qui sont à comparer dont le rythme de croissance peut ête comparé à celui des dépenses de fonctionnement.</w:t>
      </w:r>
      <w:r w:rsidR="00A24139">
        <w:br/>
        <w:t>Mode de calcul : r</w:t>
      </w:r>
      <w:r w:rsidR="009507AF">
        <w:t>ecettes réelles de fonctionnement (RRF)/population</w:t>
      </w:r>
      <w:r w:rsidR="00A24139">
        <w:t>.</w:t>
      </w:r>
      <w:r w:rsidR="009507AF">
        <w:t xml:space="preserve"> </w:t>
      </w:r>
    </w:p>
    <w:p w:rsidR="009507AF" w:rsidRDefault="006F2B8C" w:rsidP="00A24139">
      <w:r>
        <w:rPr>
          <w:b/>
        </w:rPr>
        <w:t>4.</w:t>
      </w:r>
      <w:r w:rsidR="00A24139" w:rsidRPr="006F2B8C">
        <w:rPr>
          <w:b/>
        </w:rPr>
        <w:t>L’effort d’équipement par habitant :</w:t>
      </w:r>
      <w:r w:rsidR="00A24139">
        <w:t xml:space="preserve"> ce ratio appréhende le montant des dépenses d’équipement par habitant de la collectivité locale. Mode de calcul : d</w:t>
      </w:r>
      <w:r w:rsidR="009507AF">
        <w:t xml:space="preserve">épenses brutes d’équipement/population </w:t>
      </w:r>
    </w:p>
    <w:p w:rsidR="00C545FA" w:rsidRDefault="006F2B8C" w:rsidP="00C545FA">
      <w:r w:rsidRPr="006F2B8C">
        <w:rPr>
          <w:b/>
        </w:rPr>
        <w:t>5.</w:t>
      </w:r>
      <w:r w:rsidR="00C545FA" w:rsidRPr="006F2B8C">
        <w:rPr>
          <w:b/>
        </w:rPr>
        <w:t>La dette par habitant :</w:t>
      </w:r>
      <w:r w:rsidR="00C545FA">
        <w:t xml:space="preserve"> ce ratio apprécie l’encours de la dette par habitant au sein de la collectivité. Mode de calcul : Encours de d</w:t>
      </w:r>
      <w:r w:rsidR="009507AF">
        <w:t>ette/population</w:t>
      </w:r>
    </w:p>
    <w:p w:rsidR="009507AF" w:rsidRDefault="006F2B8C" w:rsidP="0055683E">
      <w:r w:rsidRPr="006F2B8C">
        <w:rPr>
          <w:b/>
        </w:rPr>
        <w:t>6.</w:t>
      </w:r>
      <w:r w:rsidR="00C545FA" w:rsidRPr="006F2B8C">
        <w:rPr>
          <w:b/>
        </w:rPr>
        <w:t xml:space="preserve">Le montant de </w:t>
      </w:r>
      <w:r w:rsidR="009507AF" w:rsidRPr="006F2B8C">
        <w:rPr>
          <w:b/>
        </w:rPr>
        <w:t>DGF</w:t>
      </w:r>
      <w:r w:rsidR="00C545FA" w:rsidRPr="006F2B8C">
        <w:rPr>
          <w:b/>
        </w:rPr>
        <w:t xml:space="preserve"> par habitant</w:t>
      </w:r>
      <w:r w:rsidR="00C545FA">
        <w:t> : ce ratio mesure</w:t>
      </w:r>
      <w:r w:rsidR="009507AF">
        <w:t xml:space="preserve"> la contribution de l’État au fonctionnement de la collectivité</w:t>
      </w:r>
      <w:r w:rsidR="00C545FA">
        <w:t>. Mode de calcul (DGF/population).</w:t>
      </w:r>
    </w:p>
    <w:p w:rsidR="009507AF" w:rsidRDefault="006F2B8C" w:rsidP="0055683E">
      <w:r w:rsidRPr="006F2B8C">
        <w:rPr>
          <w:b/>
        </w:rPr>
        <w:t>7.</w:t>
      </w:r>
      <w:r w:rsidR="00C545FA" w:rsidRPr="006F2B8C">
        <w:rPr>
          <w:b/>
        </w:rPr>
        <w:t>La rigidité des dépenses de fonctionnement</w:t>
      </w:r>
      <w:r w:rsidR="00C545FA">
        <w:t xml:space="preserve"> : ce ratio </w:t>
      </w:r>
      <w:r w:rsidR="009507AF">
        <w:t xml:space="preserve">mesure la </w:t>
      </w:r>
      <w:r w:rsidR="00C545FA">
        <w:t xml:space="preserve">part des </w:t>
      </w:r>
      <w:r w:rsidR="009507AF">
        <w:t xml:space="preserve">charge de personnel </w:t>
      </w:r>
      <w:r w:rsidR="00C545FA">
        <w:t xml:space="preserve">dans les dépenses </w:t>
      </w:r>
      <w:r w:rsidR="009507AF">
        <w:t xml:space="preserve">de la collectivité ; c’est un coefficient de rigidité car </w:t>
      </w:r>
      <w:r>
        <w:t>il s’agit d’</w:t>
      </w:r>
      <w:r w:rsidR="009507AF">
        <w:t>une dépense incompressible à court terme, quelle que soit la population de la collectivité</w:t>
      </w:r>
      <w:r w:rsidR="00C545FA">
        <w:t xml:space="preserve">. </w:t>
      </w:r>
      <w:r>
        <w:br/>
      </w:r>
      <w:r w:rsidR="00C545FA">
        <w:t xml:space="preserve">Mode de calcul : </w:t>
      </w:r>
      <w:r w:rsidR="00C545FA" w:rsidRPr="00C545FA">
        <w:t>Dépenses de personnel/DRF :</w:t>
      </w:r>
    </w:p>
    <w:p w:rsidR="009507AF" w:rsidRDefault="006F2B8C" w:rsidP="00C545FA">
      <w:r w:rsidRPr="006F2B8C">
        <w:rPr>
          <w:b/>
        </w:rPr>
        <w:t>9.</w:t>
      </w:r>
      <w:r w:rsidR="00C545FA" w:rsidRPr="006F2B8C">
        <w:rPr>
          <w:b/>
        </w:rPr>
        <w:t>La marge d’autofinancement courant :</w:t>
      </w:r>
      <w:r w:rsidR="00C545FA">
        <w:t xml:space="preserve"> ce ratio permet de révéler la capacité d’une collectivité du bloc communal à financer ses investissements une fois ses dépenses de fonctionnement et sa dette payées. De la sorte, il met en lumière les marges de manœuvre d’une commune ou d’un établissement intercommunal à développer son territoire sans avoir recours à l’endettement.</w:t>
      </w:r>
      <w:r w:rsidR="00C545FA" w:rsidRPr="00C545FA">
        <w:t xml:space="preserve"> </w:t>
      </w:r>
      <w:r w:rsidR="00C545FA">
        <w:t xml:space="preserve">Plus le ratio est faible, plus la capacité à financer l’investissement est élevée ; a contrario, un ratio supérieur à 100 % indique un recours nécessaire à l’emprunt pour financer l’investissement. Les dépenses liées à des travaux en régie sont exclues des DRF. Mode de calcul : </w:t>
      </w:r>
      <w:r w:rsidR="009507AF">
        <w:t>Marge d’autofinancement courant (MAC) = (DR</w:t>
      </w:r>
      <w:r w:rsidR="00C545FA">
        <w:t>F + remboursement de dette)/RRF.</w:t>
      </w:r>
    </w:p>
    <w:p w:rsidR="009507AF" w:rsidRDefault="006F2B8C" w:rsidP="0055683E">
      <w:r w:rsidRPr="006F2B8C">
        <w:rPr>
          <w:b/>
        </w:rPr>
        <w:lastRenderedPageBreak/>
        <w:t>10.</w:t>
      </w:r>
      <w:r w:rsidR="00C545FA" w:rsidRPr="006F2B8C">
        <w:rPr>
          <w:b/>
        </w:rPr>
        <w:t>L’effort d’équipement de la collectivité au regard de sa richesse</w:t>
      </w:r>
      <w:r w:rsidR="00C545FA">
        <w:t> : ce ratio mesure l’effort consenti en rapportant les dépenses d’équipement aux recettes de fonctionnement. Ce ratio est à mettre en perspective sur plusieurs années en raison de la durée d</w:t>
      </w:r>
      <w:r w:rsidR="009507AF">
        <w:t xml:space="preserve">es programmes d’équipement </w:t>
      </w:r>
      <w:r w:rsidR="00C545FA">
        <w:t>généralement pluriannuels</w:t>
      </w:r>
      <w:r w:rsidR="009507AF">
        <w:t>. Les dépenses liées à des travaux en régie, ainsi que celles pour compte de tiers sont ajoutées aux dépenses d’équipement brut.</w:t>
      </w:r>
      <w:r>
        <w:t xml:space="preserve"> </w:t>
      </w:r>
      <w:r>
        <w:br/>
      </w:r>
      <w:r w:rsidRPr="006F2B8C">
        <w:t>Mode de calcul : dépenses brutes d’équipement/RRF</w:t>
      </w:r>
      <w:r>
        <w:t>.</w:t>
      </w:r>
    </w:p>
    <w:p w:rsidR="00C545FA" w:rsidRDefault="001A393E" w:rsidP="006F2B8C">
      <w:r>
        <w:rPr>
          <w:b/>
        </w:rPr>
        <w:t>11.Le t</w:t>
      </w:r>
      <w:r w:rsidR="006F2B8C" w:rsidRPr="006F2B8C">
        <w:rPr>
          <w:b/>
        </w:rPr>
        <w:t>aux d’endettement :</w:t>
      </w:r>
      <w:r w:rsidR="006F2B8C">
        <w:t xml:space="preserve"> ce ratio apprécie la charge de la dette d’une collectivité du bloc communal relativement à sa richesse. Cet indicateur connait une limite notable : une même valeur pour recouvrir des caractéristiques financières divergentes. Mode de calcul : Encours de la dette au 31 décembre / recettes de fonctionnement</w:t>
      </w:r>
      <w:r w:rsidR="009507AF">
        <w:t>.</w:t>
      </w:r>
    </w:p>
    <w:p w:rsidR="009507AF" w:rsidRDefault="009507AF" w:rsidP="001A393E">
      <w:pPr>
        <w:pStyle w:val="Titre2"/>
      </w:pPr>
      <w:bookmarkStart w:id="183" w:name="_Toc144807921"/>
      <w:bookmarkStart w:id="184" w:name="_Toc225785335"/>
      <w:r>
        <w:t>Autres ratios</w:t>
      </w:r>
      <w:bookmarkEnd w:id="183"/>
      <w:bookmarkEnd w:id="184"/>
    </w:p>
    <w:p w:rsidR="006F2B8C" w:rsidRDefault="006F2B8C" w:rsidP="006F2B8C">
      <w:r w:rsidRPr="006F2B8C">
        <w:rPr>
          <w:b/>
        </w:rPr>
        <w:t>Le coefficient de mobilisation du potentiel fiscal :</w:t>
      </w:r>
      <w:r>
        <w:t xml:space="preserve"> ce ratio peut être compris comme un indicateur de pression fiscale au sein d’une collectivité du bloc communal. En effet, il permet de déterminer les marges de </w:t>
      </w:r>
      <w:r w:rsidR="00C1358E">
        <w:t>manœuvres</w:t>
      </w:r>
      <w:r>
        <w:t xml:space="preserve"> d’une commune ou d’un établissement intercommunal en terme de fiscalité, d’évaluer leurs capacités à jouer sur l’augmentation des taux des taxes locales pour abonder leur budget. </w:t>
      </w:r>
      <w:r w:rsidR="00A80433">
        <w:br/>
      </w:r>
      <w:r w:rsidR="00A80433" w:rsidRPr="00A80433">
        <w:t>L’analyse de cet indicateur suppose de prendre quelques précautions</w:t>
      </w:r>
      <w:r w:rsidR="00A80433">
        <w:t> : en effet, l’</w:t>
      </w:r>
      <w:r w:rsidR="00A80433" w:rsidRPr="00A80433">
        <w:t xml:space="preserve">appartenance de la commune à une structure intercommunale peut profondément modifier la nature et le niveau des recettes fiscales. </w:t>
      </w:r>
      <w:r w:rsidR="00A80433">
        <w:t>Il est à noter que</w:t>
      </w:r>
      <w:r w:rsidR="00A80433" w:rsidRPr="00A80433">
        <w:t xml:space="preserve"> ce ratio, s’il permet de comparer les taux d’imposition, n’est pas révélateur du montant effectivement payé par les contribuables </w:t>
      </w:r>
      <w:r w:rsidR="00A80433">
        <w:t>car il</w:t>
      </w:r>
      <w:r w:rsidR="00A80433" w:rsidRPr="00A80433">
        <w:t xml:space="preserve"> pénalise les communes aux bases d’imposition faibles qui doivent appliquer des taux plus élevés pour obtenir un produit équivalent. </w:t>
      </w:r>
      <w:r w:rsidR="00C1358E">
        <w:t>Mode de calcul : r</w:t>
      </w:r>
      <w:r>
        <w:t>ecettes de la fiscalité locale / potentiel fiscal.</w:t>
      </w:r>
    </w:p>
    <w:p w:rsidR="006F2B8C" w:rsidRDefault="001A393E" w:rsidP="006F2B8C">
      <w:r>
        <w:rPr>
          <w:b/>
        </w:rPr>
        <w:t>L’i</w:t>
      </w:r>
      <w:r w:rsidR="006F2B8C" w:rsidRPr="00C1358E">
        <w:rPr>
          <w:b/>
        </w:rPr>
        <w:t>ndice d’</w:t>
      </w:r>
      <w:r>
        <w:rPr>
          <w:b/>
        </w:rPr>
        <w:t>a</w:t>
      </w:r>
      <w:r w:rsidR="006F2B8C" w:rsidRPr="00C1358E">
        <w:rPr>
          <w:b/>
        </w:rPr>
        <w:t xml:space="preserve">utonomie </w:t>
      </w:r>
      <w:r>
        <w:rPr>
          <w:b/>
        </w:rPr>
        <w:t>f</w:t>
      </w:r>
      <w:r w:rsidR="006F2B8C" w:rsidRPr="00C1358E">
        <w:rPr>
          <w:b/>
        </w:rPr>
        <w:t>inancière :</w:t>
      </w:r>
      <w:r w:rsidR="006F2B8C">
        <w:t xml:space="preserve"> ce ratio évalue le degré d’autonomie financière d’une commune, en appréciant la part des recettes propres d’une commune (taxes et impôts locaux, redevances pour services publics, dons et legs) par rapport au total de ces recettes de fonctionnement. Il permet de déterminer les capacités d’une collectivité du bloc communal à mobiliser des ressources financière</w:t>
      </w:r>
      <w:r w:rsidR="00C1358E">
        <w:t>s</w:t>
      </w:r>
      <w:r w:rsidR="006F2B8C">
        <w:t xml:space="preserve"> de manière autonome. Mode de calcul : Impôts, taxes et redevances locales / recettes de fonctionnement</w:t>
      </w:r>
    </w:p>
    <w:p w:rsidR="006F2B8C" w:rsidRDefault="00C1358E" w:rsidP="00C1358E">
      <w:r w:rsidRPr="00C1358E">
        <w:rPr>
          <w:b/>
        </w:rPr>
        <w:t>La capacité de désendettement :</w:t>
      </w:r>
      <w:r>
        <w:t xml:space="preserve"> ce ratio permet de mesurer la solvabilité de la collectivité en estimant en combien d’années d’exercices budgétaires la collectivité peut rembourser la totalité du capital de sa dette en supposant qu’elle y consacre l’intégralité de son épargne brute chaque année. </w:t>
      </w:r>
      <w:r w:rsidR="00A80433" w:rsidRPr="00A80433">
        <w:t xml:space="preserve">Il est généralement admis que le seuil critique, révélateur de tensions futures, est entre 10 et 12 ans </w:t>
      </w:r>
      <w:r>
        <w:t>Mode de calcul : Encours de la dette au 31 décembre / épargne brute</w:t>
      </w:r>
    </w:p>
    <w:p w:rsidR="000364D5" w:rsidRDefault="000364D5" w:rsidP="006F2B8C">
      <w:pPr>
        <w:rPr>
          <w:rFonts w:asciiTheme="majorHAnsi" w:eastAsiaTheme="majorEastAsia" w:hAnsiTheme="majorHAnsi" w:cstheme="majorBidi"/>
          <w:b/>
          <w:bCs/>
          <w:color w:val="5F497A" w:themeColor="accent4" w:themeShade="BF"/>
          <w:sz w:val="28"/>
          <w:szCs w:val="28"/>
        </w:rPr>
      </w:pPr>
      <w:r>
        <w:br w:type="page"/>
      </w:r>
    </w:p>
    <w:p w:rsidR="00370E45" w:rsidRDefault="00370E45" w:rsidP="00370E45">
      <w:pPr>
        <w:pStyle w:val="Titre1"/>
      </w:pPr>
      <w:bookmarkStart w:id="185" w:name="_Toc144807539"/>
      <w:bookmarkStart w:id="186" w:name="_Toc144807786"/>
      <w:bookmarkStart w:id="187" w:name="_Toc144807922"/>
      <w:bookmarkStart w:id="188" w:name="_Toc225785336"/>
      <w:r>
        <w:lastRenderedPageBreak/>
        <w:t xml:space="preserve">22 Synthèse des </w:t>
      </w:r>
      <w:r w:rsidR="00EE5C3A">
        <w:t xml:space="preserve">principaux </w:t>
      </w:r>
      <w:r>
        <w:t>choix d’organisation budgétaire et financière</w:t>
      </w:r>
      <w:r w:rsidR="00BE4C55">
        <w:t xml:space="preserve"> propres à la collectivité</w:t>
      </w:r>
      <w:bookmarkEnd w:id="185"/>
      <w:bookmarkEnd w:id="186"/>
      <w:bookmarkEnd w:id="187"/>
      <w:bookmarkEnd w:id="188"/>
    </w:p>
    <w:p w:rsidR="003C5DF5" w:rsidRDefault="003C5DF5" w:rsidP="00284549">
      <w:pPr>
        <w:pStyle w:val="Titre2"/>
      </w:pPr>
      <w:bookmarkStart w:id="189" w:name="_Toc144807923"/>
      <w:bookmarkStart w:id="190" w:name="_Toc225785337"/>
      <w:r>
        <w:t>Modalités de vote du budget :</w:t>
      </w:r>
      <w:bookmarkEnd w:id="189"/>
      <w:bookmarkEnd w:id="190"/>
      <w:r>
        <w:t xml:space="preserve"> </w:t>
      </w:r>
    </w:p>
    <w:p w:rsidR="003C5DF5" w:rsidRDefault="003C5DF5" w:rsidP="003C5DF5">
      <w:pPr>
        <w:pStyle w:val="Paragraphedeliste"/>
        <w:numPr>
          <w:ilvl w:val="0"/>
          <w:numId w:val="28"/>
        </w:numPr>
      </w:pPr>
      <w:r>
        <w:t xml:space="preserve">le budget est voté par nature, à l’échelle des chapitres budgétaires, sans qu’il y ait de vote formel sur ceux-ci. </w:t>
      </w:r>
      <w:r w:rsidR="007361F9">
        <w:t>Chaque</w:t>
      </w:r>
      <w:r>
        <w:t xml:space="preserve"> </w:t>
      </w:r>
      <w:r w:rsidR="007361F9">
        <w:t xml:space="preserve">autorisation de programme constitue une opération. Elles </w:t>
      </w:r>
      <w:r w:rsidR="009B5196">
        <w:t>f</w:t>
      </w:r>
      <w:r w:rsidR="007361F9">
        <w:t xml:space="preserve">ont </w:t>
      </w:r>
      <w:r w:rsidR="009B5196">
        <w:t>l’objet d’un vote et constituent un chapitre budgétaire</w:t>
      </w:r>
      <w:r>
        <w:t xml:space="preserve">. </w:t>
      </w:r>
    </w:p>
    <w:p w:rsidR="00370E45" w:rsidRDefault="003C5DF5" w:rsidP="003C5DF5">
      <w:pPr>
        <w:pStyle w:val="Paragraphedeliste"/>
        <w:numPr>
          <w:ilvl w:val="0"/>
          <w:numId w:val="28"/>
        </w:numPr>
      </w:pPr>
      <w:r>
        <w:t>Le budget est voté au printemps après la reprise des résultats de l’exercice précédent.</w:t>
      </w:r>
    </w:p>
    <w:p w:rsidR="003C5DF5" w:rsidRDefault="009B5196" w:rsidP="007F35ED">
      <w:pPr>
        <w:pStyle w:val="Paragraphedeliste"/>
        <w:numPr>
          <w:ilvl w:val="0"/>
          <w:numId w:val="28"/>
        </w:numPr>
      </w:pPr>
      <w:r>
        <w:t>Au titre de la fongibilité budgétaire, l</w:t>
      </w:r>
      <w:r w:rsidR="003C5DF5" w:rsidRPr="003C5DF5">
        <w:t xml:space="preserve">’exécutif est autorisé à procéder à des mouvements de crédits </w:t>
      </w:r>
      <w:r w:rsidR="00830994">
        <w:t>entre</w:t>
      </w:r>
      <w:r w:rsidR="003C5DF5">
        <w:t xml:space="preserve"> chapitre</w:t>
      </w:r>
      <w:r w:rsidR="00830994">
        <w:t>s</w:t>
      </w:r>
      <w:r w:rsidR="003C5DF5">
        <w:t xml:space="preserve"> budgétaire</w:t>
      </w:r>
      <w:r w:rsidR="00830994">
        <w:t>s</w:t>
      </w:r>
      <w:r w:rsidR="003C5DF5">
        <w:t xml:space="preserve"> </w:t>
      </w:r>
      <w:r w:rsidR="003C5DF5" w:rsidRPr="003C5DF5">
        <w:t>jusqu’à 7.5% des dépenses réelles de chaque section</w:t>
      </w:r>
      <w:r w:rsidR="00BE4C55">
        <w:t xml:space="preserve"> dans les limites prévues par la réglementation</w:t>
      </w:r>
      <w:r w:rsidR="00EE5C3A">
        <w:t xml:space="preserve"> s’agissant des dépenses de personnel</w:t>
      </w:r>
      <w:r w:rsidR="003C5DF5" w:rsidRPr="003C5DF5">
        <w:t>.</w:t>
      </w:r>
      <w:r w:rsidR="007F35ED" w:rsidRPr="007F35ED">
        <w:t xml:space="preserve"> Cette autorisation est formalisée lors du vote du budget primitif</w:t>
      </w:r>
      <w:r w:rsidR="007F35ED">
        <w:t>.</w:t>
      </w:r>
    </w:p>
    <w:p w:rsidR="003C5DF5" w:rsidRDefault="003C5DF5" w:rsidP="00284549">
      <w:pPr>
        <w:pStyle w:val="Titre2"/>
      </w:pPr>
      <w:bookmarkStart w:id="191" w:name="_Toc144807924"/>
      <w:bookmarkStart w:id="192" w:name="_Toc225785338"/>
      <w:r>
        <w:t>Gestion des crédits pluriannuels :</w:t>
      </w:r>
      <w:bookmarkEnd w:id="191"/>
      <w:bookmarkEnd w:id="192"/>
    </w:p>
    <w:p w:rsidR="003C5DF5" w:rsidRDefault="00BE4C55" w:rsidP="00BE4C55">
      <w:pPr>
        <w:pStyle w:val="Paragraphedeliste"/>
        <w:numPr>
          <w:ilvl w:val="0"/>
          <w:numId w:val="29"/>
        </w:numPr>
      </w:pPr>
      <w:r w:rsidRPr="00284549">
        <w:rPr>
          <w:i/>
        </w:rPr>
        <w:t>Information du conseil municipal en cours d’exécution :</w:t>
      </w:r>
      <w:r>
        <w:t xml:space="preserve"> le </w:t>
      </w:r>
      <w:r w:rsidRPr="00BE4C55">
        <w:t>rapport d’orientation budgétaire présente l’utilisation des crédits de paiement à venir pour l’année en cours, les perspectives de consommation pour les années à venir</w:t>
      </w:r>
      <w:r>
        <w:t xml:space="preserve"> mais également</w:t>
      </w:r>
      <w:r w:rsidRPr="00BE4C55">
        <w:t>, les éventuelles recettes attendues et le re</w:t>
      </w:r>
      <w:r>
        <w:t>ste à charge prévisionnel</w:t>
      </w:r>
      <w:r w:rsidRPr="00BE4C55">
        <w:t>. Un bilan des réalisations de l’exercice a lieu lors de la présentation du compte administratif  et figure dans le rapport accompagnant ce dernier.</w:t>
      </w:r>
    </w:p>
    <w:p w:rsidR="00284549" w:rsidRDefault="00284549" w:rsidP="00BE4C55">
      <w:pPr>
        <w:pStyle w:val="Paragraphedeliste"/>
        <w:numPr>
          <w:ilvl w:val="0"/>
          <w:numId w:val="29"/>
        </w:numPr>
      </w:pPr>
      <w:r w:rsidRPr="00284549">
        <w:rPr>
          <w:i/>
        </w:rPr>
        <w:t>Modification du montant de l’AP ou de la répartition annuelle des crédits de paiements :</w:t>
      </w:r>
      <w:r>
        <w:t xml:space="preserve"> ces modifications sont présentées soit dans le rapport d’orientation budgétaire et celui accompagnant le budget primitif, soit dans la note de présentation de la délibération budgétaire modifiant le budget.</w:t>
      </w:r>
    </w:p>
    <w:p w:rsidR="00BE4C55" w:rsidRDefault="00BE4C55" w:rsidP="00BE4C55">
      <w:pPr>
        <w:pStyle w:val="Paragraphedeliste"/>
        <w:numPr>
          <w:ilvl w:val="0"/>
          <w:numId w:val="29"/>
        </w:numPr>
      </w:pPr>
      <w:r w:rsidRPr="00284549">
        <w:rPr>
          <w:i/>
        </w:rPr>
        <w:t>Annulation (clôture) des autorisations de programme et d’engagement :</w:t>
      </w:r>
      <w:r>
        <w:t xml:space="preserve"> un bilan financier de l’autorisation de programme est </w:t>
      </w:r>
      <w:r w:rsidR="00284549">
        <w:t>présenté lors de son annulation</w:t>
      </w:r>
      <w:r>
        <w:t>. Ce bilan présente notamment, dans un tableau comptable, l’ensemble des dépenses et des recettes enregistrées par imputation comptable, les tiers ayant subventionné l’opération, le reste à charge pour la collectivité. Dans le silence des textes, par soucis de mimétisme juridique avec la procédure permettant d’ouvrir une autorisation de programme, l’annulation d’une autorisation de programme fait l’objet d’une délibération.</w:t>
      </w:r>
    </w:p>
    <w:p w:rsidR="00BE4C55" w:rsidRDefault="00BE4C55" w:rsidP="00BE4C55">
      <w:pPr>
        <w:pStyle w:val="Paragraphedeliste"/>
        <w:numPr>
          <w:ilvl w:val="0"/>
          <w:numId w:val="29"/>
        </w:numPr>
      </w:pPr>
      <w:r w:rsidRPr="00284549">
        <w:rPr>
          <w:i/>
        </w:rPr>
        <w:t>Règle de caducité :</w:t>
      </w:r>
      <w:r>
        <w:t xml:space="preserve"> </w:t>
      </w:r>
      <w:r w:rsidRPr="00BE4C55">
        <w:t xml:space="preserve">Une autorisation qui n’aurait connu aucune consommation de crédit de paiement durant deux exercices </w:t>
      </w:r>
      <w:r>
        <w:t xml:space="preserve">clos </w:t>
      </w:r>
      <w:r w:rsidRPr="00BE4C55">
        <w:t>consécutifs ni aucune révision du montant global durant cette même durée est réputée caduque, donc annulée. Une délibération actant son annulation et présentant son bilan financier est soumise lors de la prochaine réunion de l’assemblée délibérante.</w:t>
      </w:r>
    </w:p>
    <w:p w:rsidR="003C5DF5" w:rsidRDefault="009129D7" w:rsidP="00284549">
      <w:pPr>
        <w:pStyle w:val="Titre2"/>
      </w:pPr>
      <w:bookmarkStart w:id="193" w:name="_Toc144807925"/>
      <w:bookmarkStart w:id="194" w:name="_Toc225785339"/>
      <w:r>
        <w:t xml:space="preserve">Clôture budgétaire : restes à réaliser </w:t>
      </w:r>
      <w:r w:rsidR="00C32E60">
        <w:t xml:space="preserve">et </w:t>
      </w:r>
      <w:r>
        <w:t>ouverture anticipée des crédits</w:t>
      </w:r>
      <w:bookmarkEnd w:id="193"/>
      <w:bookmarkEnd w:id="194"/>
    </w:p>
    <w:p w:rsidR="009129D7" w:rsidRDefault="009129D7" w:rsidP="009129D7">
      <w:pPr>
        <w:pStyle w:val="Paragraphedeliste"/>
        <w:numPr>
          <w:ilvl w:val="0"/>
          <w:numId w:val="30"/>
        </w:numPr>
      </w:pPr>
      <w:r>
        <w:t>Les restes à réaliser ne concernent que les crédits d’investissement, hors dépenses d’AP.</w:t>
      </w:r>
    </w:p>
    <w:p w:rsidR="00CB7374" w:rsidRDefault="009129D7" w:rsidP="00CB7374">
      <w:pPr>
        <w:pStyle w:val="Paragraphedeliste"/>
        <w:numPr>
          <w:ilvl w:val="0"/>
          <w:numId w:val="30"/>
        </w:numPr>
      </w:pPr>
      <w:r>
        <w:t xml:space="preserve">Les recettes d’investissement inscrites en restes à réaliser disposent </w:t>
      </w:r>
      <w:r w:rsidR="00CB7374">
        <w:t xml:space="preserve">chacune </w:t>
      </w:r>
      <w:r>
        <w:t>d’un justificatif juridique.</w:t>
      </w:r>
    </w:p>
    <w:p w:rsidR="00CB7374" w:rsidRDefault="00CB7374" w:rsidP="00405ABD">
      <w:pPr>
        <w:pStyle w:val="Titre2"/>
      </w:pPr>
      <w:bookmarkStart w:id="195" w:name="_Toc144807926"/>
      <w:bookmarkStart w:id="196" w:name="_Toc225785340"/>
      <w:r>
        <w:lastRenderedPageBreak/>
        <w:t>Divers</w:t>
      </w:r>
      <w:bookmarkEnd w:id="195"/>
      <w:bookmarkEnd w:id="196"/>
    </w:p>
    <w:p w:rsidR="0001757F" w:rsidRDefault="00CB7374" w:rsidP="00405ABD">
      <w:pPr>
        <w:pStyle w:val="Paragraphedeliste"/>
        <w:keepNext/>
        <w:numPr>
          <w:ilvl w:val="0"/>
          <w:numId w:val="31"/>
        </w:numPr>
      </w:pPr>
      <w:r>
        <w:t xml:space="preserve">Les </w:t>
      </w:r>
      <w:r w:rsidR="0001757F">
        <w:t xml:space="preserve">provisions sont des opérations </w:t>
      </w:r>
      <w:r w:rsidR="004B4203">
        <w:t xml:space="preserve">d’ordre </w:t>
      </w:r>
      <w:r w:rsidR="0001757F">
        <w:t>budgétaires</w:t>
      </w:r>
      <w:r w:rsidR="00830994">
        <w:t>.</w:t>
      </w:r>
    </w:p>
    <w:p w:rsidR="003A3313" w:rsidRDefault="003A3313" w:rsidP="00405ABD">
      <w:pPr>
        <w:pStyle w:val="Paragraphedeliste"/>
        <w:keepNext/>
        <w:numPr>
          <w:ilvl w:val="0"/>
          <w:numId w:val="31"/>
        </w:numPr>
      </w:pPr>
      <w:r>
        <w:t xml:space="preserve">Dans le cadre des consultations bancaires, le choix de l’organisme retenu s’effectuera : </w:t>
      </w:r>
    </w:p>
    <w:p w:rsidR="003A3313" w:rsidRDefault="003A3313" w:rsidP="00405ABD">
      <w:pPr>
        <w:pStyle w:val="Paragraphedeliste"/>
        <w:keepNext/>
        <w:numPr>
          <w:ilvl w:val="2"/>
          <w:numId w:val="31"/>
        </w:numPr>
      </w:pPr>
      <w:r>
        <w:t xml:space="preserve">sur la base d’un taux comparable incluant notamment les éventuels frais financiers (commissions, primes...), mais également, </w:t>
      </w:r>
    </w:p>
    <w:p w:rsidR="003A3313" w:rsidRDefault="003A3313" w:rsidP="00405ABD">
      <w:pPr>
        <w:pStyle w:val="Paragraphedeliste"/>
        <w:keepNext/>
        <w:numPr>
          <w:ilvl w:val="2"/>
          <w:numId w:val="31"/>
        </w:numPr>
      </w:pPr>
      <w:r>
        <w:t xml:space="preserve">sur l’origine des fonds et leur caractère éco-responsable, </w:t>
      </w:r>
      <w:r w:rsidR="00DE3549">
        <w:t>et</w:t>
      </w:r>
    </w:p>
    <w:p w:rsidR="0001757F" w:rsidRDefault="003A3313" w:rsidP="00405ABD">
      <w:pPr>
        <w:pStyle w:val="Paragraphedeliste"/>
        <w:keepNext/>
        <w:numPr>
          <w:ilvl w:val="2"/>
          <w:numId w:val="31"/>
        </w:numPr>
      </w:pPr>
      <w:r>
        <w:t>sur la bonne prise en charge de l’urgence écologique par les organismes prêteurs.</w:t>
      </w:r>
    </w:p>
    <w:p w:rsidR="003A3313" w:rsidRDefault="00235BAB" w:rsidP="003A3313">
      <w:pPr>
        <w:pStyle w:val="Paragraphedeliste"/>
        <w:numPr>
          <w:ilvl w:val="0"/>
          <w:numId w:val="32"/>
        </w:numPr>
      </w:pPr>
      <w:r>
        <w:t>T</w:t>
      </w:r>
      <w:r w:rsidR="003A3313" w:rsidRPr="003A3313">
        <w:t>out nouvel emprunt devra être côté 1A sur la charte de Gissler, soit le degré présentant le moins de risque.</w:t>
      </w:r>
    </w:p>
    <w:p w:rsidR="00235BAB" w:rsidRDefault="00235BAB" w:rsidP="00235BAB">
      <w:pPr>
        <w:pStyle w:val="Paragraphedeliste"/>
        <w:numPr>
          <w:ilvl w:val="0"/>
          <w:numId w:val="32"/>
        </w:numPr>
      </w:pPr>
      <w:r>
        <w:t>L</w:t>
      </w:r>
      <w:r w:rsidRPr="00235BAB">
        <w:t xml:space="preserve">es </w:t>
      </w:r>
      <w:r>
        <w:t xml:space="preserve">éventuelles </w:t>
      </w:r>
      <w:r w:rsidRPr="00235BAB">
        <w:t xml:space="preserve">opérations </w:t>
      </w:r>
      <w:r>
        <w:t xml:space="preserve">de couverture </w:t>
      </w:r>
      <w:r w:rsidRPr="00235BAB">
        <w:t>ne pourront pas conduire à augmenter le risque tel que défini par le classement dans la charte Gissler</w:t>
      </w:r>
      <w:r w:rsidR="00DE3549">
        <w:t>.</w:t>
      </w:r>
    </w:p>
    <w:p w:rsidR="00370E45" w:rsidRPr="00CB7374" w:rsidRDefault="00370E45" w:rsidP="00CB7374">
      <w:r>
        <w:br w:type="page"/>
      </w:r>
    </w:p>
    <w:p w:rsidR="00A80433" w:rsidRDefault="00A80433" w:rsidP="007B2689">
      <w:pPr>
        <w:pStyle w:val="Titre1"/>
        <w:jc w:val="center"/>
      </w:pPr>
      <w:bookmarkStart w:id="197" w:name="_Toc144807540"/>
      <w:bookmarkStart w:id="198" w:name="_Toc144807787"/>
      <w:bookmarkStart w:id="199" w:name="_Toc144807927"/>
      <w:bookmarkStart w:id="200" w:name="_Toc225785341"/>
      <w:r>
        <w:lastRenderedPageBreak/>
        <w:t>Annexe 1 : Modalités de calcul des amortissements</w:t>
      </w:r>
      <w:bookmarkEnd w:id="197"/>
      <w:bookmarkEnd w:id="198"/>
      <w:bookmarkEnd w:id="199"/>
      <w:bookmarkEnd w:id="200"/>
    </w:p>
    <w:p w:rsidR="00671898" w:rsidRDefault="00671898" w:rsidP="00671898">
      <w:r>
        <w:t xml:space="preserve">Le calcul des amortissements est effectué en mode linéaire avec application du prorata temporis à compter de la date d’acquisition de l’immobilisation sauf pour les biens de faible valeur, qui continueront à être amorties en années pleines ; </w:t>
      </w:r>
    </w:p>
    <w:p w:rsidR="00671898" w:rsidRDefault="00671898" w:rsidP="00671898">
      <w:r>
        <w:t>Le prorata temporis s’applique sur les flux réalisés à compter du 1er janvier 2024, sans retraitement des exercices clôturés ; les plans d’amortissement calculés avant le 1er janvier 2024 s’exécutent selon les modalités définies à l’origine ;</w:t>
      </w:r>
    </w:p>
    <w:p w:rsidR="00671898" w:rsidRDefault="00671898" w:rsidP="00671898">
      <w:r>
        <w:t xml:space="preserve">Le calcul de l’amortissement est opéré sur la valeur toutes taxes comprises de l’immobilisation, sauf pour les activités assujetties à la TVA pour lesquelles le calcul se fait sur la valeur hors taxes ; </w:t>
      </w:r>
    </w:p>
    <w:p w:rsidR="00671898" w:rsidRDefault="00671898" w:rsidP="00671898">
      <w:r>
        <w:t xml:space="preserve">La méthode de calcul de nombre de jours retenue est la méthode simplifiée, soit 360 jours par an ; </w:t>
      </w:r>
    </w:p>
    <w:p w:rsidR="00671898" w:rsidRDefault="00671898" w:rsidP="00671898">
      <w:r>
        <w:t xml:space="preserve">Les amortissements sont arrondis à l’euro inférieur, à l’exception de la dernière annuité d’amortissement (qui solde les centimes) ; </w:t>
      </w:r>
    </w:p>
    <w:p w:rsidR="00671898" w:rsidRDefault="00671898" w:rsidP="00671898">
      <w:pPr>
        <w:spacing w:after="0"/>
      </w:pPr>
      <w:r>
        <w:t xml:space="preserve">Par mesure de simplification, </w:t>
      </w:r>
    </w:p>
    <w:p w:rsidR="00671898" w:rsidRDefault="00671898" w:rsidP="00671898">
      <w:pPr>
        <w:pStyle w:val="Paragraphedeliste"/>
        <w:numPr>
          <w:ilvl w:val="0"/>
          <w:numId w:val="34"/>
        </w:numPr>
        <w:spacing w:after="0"/>
      </w:pPr>
      <w:r>
        <w:t xml:space="preserve">les biens de faible valeur acquis pour un montant égal ou inférieur à 1 000€ imputés en investissement et suivis d’une manière globalisée dans l’inventaire (un numéro annuel par catégorie de biens de faible valeur) seront amortis en une annuité unique à compter du 1er janvier de l’année N+1 suivant l’acquisition ; </w:t>
      </w:r>
    </w:p>
    <w:p w:rsidR="00671898" w:rsidRDefault="00671898" w:rsidP="00671898">
      <w:pPr>
        <w:pStyle w:val="Paragraphedeliste"/>
        <w:numPr>
          <w:ilvl w:val="0"/>
          <w:numId w:val="34"/>
        </w:numPr>
      </w:pPr>
      <w:r>
        <w:t xml:space="preserve">les concessions et droits similaires, brevets, licences, les marques, procédés, droits et valeurs similaires acquis pour une durée supérieure à un an sont amortis en deux ans ; </w:t>
      </w:r>
    </w:p>
    <w:p w:rsidR="00671898" w:rsidRDefault="00671898" w:rsidP="00671898">
      <w:pPr>
        <w:spacing w:after="0"/>
        <w:jc w:val="left"/>
      </w:pPr>
      <w:r>
        <w:t xml:space="preserve">Les subventions d’équipement versées sont amorties :  </w:t>
      </w:r>
    </w:p>
    <w:p w:rsidR="00671898" w:rsidRDefault="00671898" w:rsidP="00671898">
      <w:pPr>
        <w:pStyle w:val="Paragraphedeliste"/>
        <w:numPr>
          <w:ilvl w:val="0"/>
          <w:numId w:val="35"/>
        </w:numPr>
        <w:jc w:val="left"/>
      </w:pPr>
      <w:r>
        <w:t>sur une durée maximale de 5 ans lorsqu’elles financent des biens mobiliers, du matériel ou des études auxquelles sont assimilées les aides à l’investissement consenties aux entreprises ;</w:t>
      </w:r>
    </w:p>
    <w:p w:rsidR="00671898" w:rsidRDefault="00671898" w:rsidP="00671898">
      <w:pPr>
        <w:pStyle w:val="Paragraphedeliste"/>
        <w:numPr>
          <w:ilvl w:val="0"/>
          <w:numId w:val="35"/>
        </w:numPr>
        <w:jc w:val="left"/>
      </w:pPr>
      <w:r>
        <w:t>sur une durée maximale de 30 ans lorsqu’elles financent des biens immobiliers ou des installations ;</w:t>
      </w:r>
    </w:p>
    <w:p w:rsidR="00671898" w:rsidRDefault="00671898" w:rsidP="00671898">
      <w:pPr>
        <w:pStyle w:val="Paragraphedeliste"/>
        <w:numPr>
          <w:ilvl w:val="0"/>
          <w:numId w:val="35"/>
        </w:numPr>
        <w:jc w:val="left"/>
      </w:pPr>
      <w:r>
        <w:t>sur une durée maximale de 40 ans lorsqu’elles financent des projets d’infrastructures d’intérêt national ;</w:t>
      </w:r>
    </w:p>
    <w:p w:rsidR="00671898" w:rsidRDefault="00671898" w:rsidP="00671898">
      <w:pPr>
        <w:pStyle w:val="Paragraphedeliste"/>
        <w:numPr>
          <w:ilvl w:val="0"/>
          <w:numId w:val="35"/>
        </w:numPr>
        <w:jc w:val="left"/>
      </w:pPr>
      <w:r>
        <w:t>l’amortissement de la subvention d’équipement versée démarre à compter de la date du versement (correspondant à la date d’émission du mandat au compte 204).</w:t>
      </w:r>
    </w:p>
    <w:p w:rsidR="00671898" w:rsidRDefault="00671898" w:rsidP="00671898">
      <w:r>
        <w:t>Les subventions d’investissement (compte 131) et des fonds affectés à l’équipement (compte 133) sont reçus par l’entité pour financer un bien ou une catégorie de biens amortissables ; aussi, leur reprise au compte de résultat s’effectue au même rythme que l’amortissement du bien permet d’atténuer la charge de la dotation aux amortissements de ces biens.</w:t>
      </w:r>
    </w:p>
    <w:p w:rsidR="00671898" w:rsidRDefault="00671898" w:rsidP="00671898">
      <w:pPr>
        <w:jc w:val="left"/>
      </w:pPr>
      <w:r w:rsidRPr="00671898">
        <w:t>Les durées d’amortissements sont fixées dans le tableau suivant en fonction de la nature d’imputation comptable :</w:t>
      </w:r>
    </w:p>
    <w:p w:rsidR="00671898" w:rsidRDefault="00671898">
      <w:pPr>
        <w:jc w:val="left"/>
      </w:pPr>
      <w:r>
        <w:br w:type="page"/>
      </w:r>
    </w:p>
    <w:bookmarkStart w:id="201" w:name="_MON_1756101989"/>
    <w:bookmarkEnd w:id="201"/>
    <w:p w:rsidR="00A80433" w:rsidRDefault="00671898" w:rsidP="00671898">
      <w:pPr>
        <w:jc w:val="left"/>
      </w:pPr>
      <w:r>
        <w:rPr>
          <w:rFonts w:ascii="Calibri" w:hAnsi="Calibri" w:cs="Comic Sans MS"/>
          <w:sz w:val="24"/>
          <w:szCs w:val="24"/>
          <w:lang w:eastAsia="fr-FR"/>
        </w:rPr>
        <w:object w:dxaOrig="9680" w:dyaOrig="14270">
          <v:shape id="_x0000_i1027" type="#_x0000_t75" style="width:452.95pt;height:668.1pt" o:ole="">
            <v:imagedata r:id="rId17" o:title=""/>
          </v:shape>
          <o:OLEObject Type="Embed" ProgID="Excel.Sheet.12" ShapeID="_x0000_i1027" DrawAspect="Content" ObjectID="_1836398021" r:id="rId18"/>
        </w:object>
      </w:r>
      <w:r w:rsidR="00A80433">
        <w:br w:type="page"/>
      </w:r>
    </w:p>
    <w:p w:rsidR="00A80433" w:rsidRDefault="00A80433" w:rsidP="007B2689">
      <w:pPr>
        <w:pStyle w:val="Titre1"/>
        <w:jc w:val="center"/>
      </w:pPr>
      <w:bookmarkStart w:id="202" w:name="_Toc144807541"/>
      <w:bookmarkStart w:id="203" w:name="_Toc144807788"/>
      <w:bookmarkStart w:id="204" w:name="_Toc144807928"/>
      <w:bookmarkStart w:id="205" w:name="_Toc225785342"/>
      <w:r>
        <w:lastRenderedPageBreak/>
        <w:t>Annexe 2 : Liste des fonctions selon la M57</w:t>
      </w:r>
      <w:r w:rsidR="001C0B95">
        <w:rPr>
          <w:rStyle w:val="Appelnotedebasdep"/>
        </w:rPr>
        <w:footnoteReference w:id="34"/>
      </w:r>
      <w:bookmarkEnd w:id="202"/>
      <w:bookmarkEnd w:id="203"/>
      <w:bookmarkEnd w:id="204"/>
      <w:bookmarkEnd w:id="205"/>
    </w:p>
    <w:p w:rsidR="001C0B95" w:rsidRPr="00B93F6A" w:rsidRDefault="001C0B95" w:rsidP="001C0B95">
      <w:pPr>
        <w:autoSpaceDE w:val="0"/>
        <w:autoSpaceDN w:val="0"/>
        <w:adjustRightInd w:val="0"/>
        <w:spacing w:after="0" w:line="240" w:lineRule="auto"/>
        <w:jc w:val="left"/>
        <w:rPr>
          <w:rFonts w:cstheme="minorHAnsi"/>
          <w:color w:val="00000A"/>
          <w:sz w:val="24"/>
          <w:szCs w:val="24"/>
        </w:rPr>
      </w:pPr>
      <w:r w:rsidRPr="00B93F6A">
        <w:rPr>
          <w:rFonts w:cstheme="minorHAnsi"/>
          <w:color w:val="00000A"/>
          <w:sz w:val="24"/>
          <w:szCs w:val="24"/>
        </w:rPr>
        <w:t>Fonction 0 - Services généraux</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01 Opérations non ventilables</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02 Administration générale</w:t>
      </w:r>
    </w:p>
    <w:p w:rsidR="001C0B95" w:rsidRPr="00D25110" w:rsidRDefault="001C0B95" w:rsidP="001C0B95">
      <w:pPr>
        <w:autoSpaceDE w:val="0"/>
        <w:autoSpaceDN w:val="0"/>
        <w:adjustRightInd w:val="0"/>
        <w:spacing w:after="0" w:line="240" w:lineRule="auto"/>
        <w:ind w:left="708" w:firstLine="708"/>
        <w:jc w:val="left"/>
        <w:rPr>
          <w:rFonts w:cstheme="minorHAnsi"/>
          <w:color w:val="00000A"/>
          <w:szCs w:val="24"/>
        </w:rPr>
      </w:pPr>
      <w:r w:rsidRPr="00D25110">
        <w:rPr>
          <w:rFonts w:cstheme="minorHAnsi"/>
          <w:color w:val="00000A"/>
          <w:szCs w:val="24"/>
        </w:rPr>
        <w:t>020 Administration générale de la collectivité</w:t>
      </w:r>
    </w:p>
    <w:p w:rsidR="001C0B95" w:rsidRPr="00D25110" w:rsidRDefault="001C0B95" w:rsidP="001C0B95">
      <w:pPr>
        <w:autoSpaceDE w:val="0"/>
        <w:autoSpaceDN w:val="0"/>
        <w:adjustRightInd w:val="0"/>
        <w:spacing w:after="0" w:line="240" w:lineRule="auto"/>
        <w:ind w:left="708" w:firstLine="708"/>
        <w:jc w:val="left"/>
        <w:rPr>
          <w:rFonts w:cstheme="minorHAnsi"/>
          <w:color w:val="00000A"/>
          <w:szCs w:val="24"/>
        </w:rPr>
      </w:pPr>
      <w:r w:rsidRPr="00D25110">
        <w:rPr>
          <w:rFonts w:cstheme="minorHAnsi"/>
          <w:color w:val="00000A"/>
          <w:szCs w:val="24"/>
        </w:rPr>
        <w:t>021 Personnel non ventilé</w:t>
      </w:r>
    </w:p>
    <w:p w:rsidR="001C0B95" w:rsidRPr="00D25110" w:rsidRDefault="001C0B95" w:rsidP="001C0B95">
      <w:pPr>
        <w:autoSpaceDE w:val="0"/>
        <w:autoSpaceDN w:val="0"/>
        <w:adjustRightInd w:val="0"/>
        <w:spacing w:after="0" w:line="240" w:lineRule="auto"/>
        <w:ind w:left="708" w:firstLine="708"/>
        <w:jc w:val="left"/>
        <w:rPr>
          <w:rFonts w:cstheme="minorHAnsi"/>
          <w:color w:val="00000A"/>
          <w:szCs w:val="24"/>
        </w:rPr>
      </w:pPr>
      <w:r w:rsidRPr="00D25110">
        <w:rPr>
          <w:rFonts w:cstheme="minorHAnsi"/>
          <w:color w:val="00000A"/>
          <w:szCs w:val="24"/>
        </w:rPr>
        <w:t>022 Information, communication, publicité</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023 Fêtes et cérémonies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024 Aide aux associations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025 Cimetières et pompes funèbres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026 Administration générale de l’Etat</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028 Autres moyens généraux</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03 Conseils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031 Assemblée délibérante</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032 Conseil économique et social régional ou Conseil de développement</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033 Conseil de la culture, de l'éducation et de l'environnement</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034</w:t>
      </w:r>
      <w:r w:rsidRPr="00D25110">
        <w:rPr>
          <w:rStyle w:val="Appelnotedebasdep"/>
          <w:rFonts w:cstheme="minorHAnsi"/>
          <w:color w:val="00000A"/>
          <w:szCs w:val="24"/>
        </w:rPr>
        <w:footnoteReference w:id="35"/>
      </w:r>
      <w:r w:rsidRPr="00D25110">
        <w:rPr>
          <w:rFonts w:cstheme="minorHAnsi"/>
          <w:color w:val="00000A"/>
          <w:szCs w:val="24"/>
        </w:rPr>
        <w:t>Conseil économique, social, environnemental, de la culture et de l'éducation</w:t>
      </w:r>
    </w:p>
    <w:p w:rsidR="001C0B95" w:rsidRPr="00D25110" w:rsidRDefault="001C0B95" w:rsidP="001C0B95">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0341 Section économique, sociale et environnementale</w:t>
      </w:r>
    </w:p>
    <w:p w:rsidR="001C0B95" w:rsidRPr="00D25110" w:rsidRDefault="001C0B95" w:rsidP="001C0B95">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0342 Section de la culture, de l'éducation et des sports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035 Conseil de territoire</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038 Autres instances</w:t>
      </w:r>
    </w:p>
    <w:p w:rsidR="001C0B95" w:rsidRPr="00D25110" w:rsidRDefault="001C0B95" w:rsidP="001C0B95">
      <w:pPr>
        <w:autoSpaceDE w:val="0"/>
        <w:autoSpaceDN w:val="0"/>
        <w:adjustRightInd w:val="0"/>
        <w:spacing w:after="0" w:line="240" w:lineRule="auto"/>
        <w:ind w:left="709" w:hanging="1"/>
        <w:jc w:val="left"/>
        <w:rPr>
          <w:rFonts w:cstheme="minorHAnsi"/>
          <w:color w:val="00000A"/>
          <w:szCs w:val="24"/>
        </w:rPr>
      </w:pPr>
      <w:r w:rsidRPr="00D25110">
        <w:rPr>
          <w:rFonts w:cstheme="minorHAnsi"/>
          <w:color w:val="00000A"/>
          <w:szCs w:val="24"/>
        </w:rPr>
        <w:t>04 Coopération décentralisée et actions interrégionales, européennes et internationales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041 Actions relevant de la subvention globale</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042 Actions interrégionales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043 Actions européennes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044 Aide publique au développement</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048 Autres actions</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06 Plan de relance (crise sanitaire)</w:t>
      </w:r>
    </w:p>
    <w:p w:rsidR="001C0B95" w:rsidRPr="00B93F6A" w:rsidRDefault="001C0B95" w:rsidP="001C0B95">
      <w:pPr>
        <w:autoSpaceDE w:val="0"/>
        <w:autoSpaceDN w:val="0"/>
        <w:adjustRightInd w:val="0"/>
        <w:spacing w:after="0" w:line="240" w:lineRule="auto"/>
        <w:jc w:val="left"/>
        <w:rPr>
          <w:rFonts w:cstheme="minorHAnsi"/>
          <w:color w:val="000000"/>
          <w:sz w:val="24"/>
          <w:szCs w:val="24"/>
        </w:rPr>
      </w:pPr>
      <w:r w:rsidRPr="00B93F6A">
        <w:rPr>
          <w:rFonts w:cstheme="minorHAnsi"/>
          <w:color w:val="000000"/>
          <w:sz w:val="24"/>
          <w:szCs w:val="24"/>
        </w:rPr>
        <w:t>Fonction 0-5 Gestion des fonds européens</w:t>
      </w:r>
    </w:p>
    <w:p w:rsidR="001C0B95" w:rsidRPr="00D25110" w:rsidRDefault="001C0B95" w:rsidP="001C0B95">
      <w:pPr>
        <w:autoSpaceDE w:val="0"/>
        <w:autoSpaceDN w:val="0"/>
        <w:adjustRightInd w:val="0"/>
        <w:spacing w:after="0" w:line="240" w:lineRule="auto"/>
        <w:ind w:left="1416"/>
        <w:jc w:val="left"/>
        <w:rPr>
          <w:rFonts w:cstheme="minorHAnsi"/>
          <w:color w:val="000000"/>
          <w:szCs w:val="24"/>
        </w:rPr>
      </w:pPr>
      <w:r w:rsidRPr="00D25110">
        <w:rPr>
          <w:rFonts w:cstheme="minorHAnsi"/>
          <w:color w:val="000000"/>
          <w:szCs w:val="24"/>
        </w:rPr>
        <w:t>051 FSE</w:t>
      </w:r>
    </w:p>
    <w:p w:rsidR="001C0B95" w:rsidRPr="00D25110" w:rsidRDefault="001C0B95" w:rsidP="001C0B95">
      <w:pPr>
        <w:autoSpaceDE w:val="0"/>
        <w:autoSpaceDN w:val="0"/>
        <w:adjustRightInd w:val="0"/>
        <w:spacing w:after="0" w:line="240" w:lineRule="auto"/>
        <w:ind w:left="1416"/>
        <w:jc w:val="left"/>
        <w:rPr>
          <w:rFonts w:cstheme="minorHAnsi"/>
          <w:color w:val="000000"/>
          <w:szCs w:val="24"/>
        </w:rPr>
      </w:pPr>
      <w:r w:rsidRPr="00D25110">
        <w:rPr>
          <w:rFonts w:cstheme="minorHAnsi"/>
          <w:color w:val="000000"/>
          <w:szCs w:val="24"/>
        </w:rPr>
        <w:t>052 FEDER</w:t>
      </w:r>
    </w:p>
    <w:p w:rsidR="001C0B95" w:rsidRPr="00D25110" w:rsidRDefault="001C0B95" w:rsidP="001C0B95">
      <w:pPr>
        <w:autoSpaceDE w:val="0"/>
        <w:autoSpaceDN w:val="0"/>
        <w:adjustRightInd w:val="0"/>
        <w:spacing w:after="0" w:line="240" w:lineRule="auto"/>
        <w:ind w:left="708" w:firstLine="708"/>
        <w:jc w:val="left"/>
        <w:rPr>
          <w:rFonts w:cstheme="minorHAnsi"/>
          <w:color w:val="000000"/>
          <w:szCs w:val="24"/>
        </w:rPr>
      </w:pPr>
      <w:r w:rsidRPr="00D25110">
        <w:rPr>
          <w:rFonts w:cstheme="minorHAnsi"/>
          <w:color w:val="000000"/>
          <w:szCs w:val="24"/>
        </w:rPr>
        <w:t>058 Autres</w:t>
      </w:r>
    </w:p>
    <w:p w:rsidR="001C0B95" w:rsidRPr="00D25110" w:rsidRDefault="001C0B95" w:rsidP="001C0B95">
      <w:pPr>
        <w:autoSpaceDE w:val="0"/>
        <w:autoSpaceDN w:val="0"/>
        <w:adjustRightInd w:val="0"/>
        <w:spacing w:after="0" w:line="240" w:lineRule="auto"/>
        <w:ind w:left="2124"/>
        <w:jc w:val="left"/>
        <w:rPr>
          <w:rFonts w:cstheme="minorHAnsi"/>
          <w:color w:val="000000"/>
          <w:szCs w:val="24"/>
        </w:rPr>
      </w:pPr>
      <w:r w:rsidRPr="00D25110">
        <w:rPr>
          <w:rFonts w:cstheme="minorHAnsi"/>
          <w:color w:val="000000"/>
          <w:szCs w:val="24"/>
        </w:rPr>
        <w:t>0580 FEADER</w:t>
      </w:r>
    </w:p>
    <w:p w:rsidR="001C0B95" w:rsidRPr="00D25110" w:rsidRDefault="001C0B95" w:rsidP="001C0B95">
      <w:pPr>
        <w:autoSpaceDE w:val="0"/>
        <w:autoSpaceDN w:val="0"/>
        <w:adjustRightInd w:val="0"/>
        <w:spacing w:after="0" w:line="240" w:lineRule="auto"/>
        <w:ind w:left="2124"/>
        <w:jc w:val="left"/>
        <w:rPr>
          <w:rFonts w:cstheme="minorHAnsi"/>
          <w:color w:val="000000"/>
          <w:szCs w:val="24"/>
        </w:rPr>
      </w:pPr>
      <w:r w:rsidRPr="00D25110">
        <w:rPr>
          <w:rFonts w:cstheme="minorHAnsi"/>
          <w:color w:val="000000"/>
          <w:szCs w:val="24"/>
        </w:rPr>
        <w:t>0581 FEAMP</w:t>
      </w:r>
    </w:p>
    <w:p w:rsidR="001C0B95" w:rsidRPr="00B93F6A" w:rsidRDefault="001C0B95" w:rsidP="00D25110">
      <w:pPr>
        <w:autoSpaceDE w:val="0"/>
        <w:autoSpaceDN w:val="0"/>
        <w:adjustRightInd w:val="0"/>
        <w:spacing w:before="240" w:after="0" w:line="240" w:lineRule="auto"/>
        <w:jc w:val="left"/>
        <w:rPr>
          <w:rFonts w:cstheme="minorHAnsi"/>
          <w:color w:val="00000A"/>
          <w:sz w:val="24"/>
          <w:szCs w:val="24"/>
        </w:rPr>
      </w:pPr>
      <w:r w:rsidRPr="00B93F6A">
        <w:rPr>
          <w:rFonts w:cstheme="minorHAnsi"/>
          <w:color w:val="00000A"/>
          <w:sz w:val="24"/>
          <w:szCs w:val="24"/>
        </w:rPr>
        <w:t>Fonction 1 - Sécurité</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10 Services communs</w:t>
      </w:r>
    </w:p>
    <w:p w:rsidR="001C0B95" w:rsidRPr="00D25110" w:rsidRDefault="001C0B95" w:rsidP="001C0B95">
      <w:pPr>
        <w:autoSpaceDE w:val="0"/>
        <w:autoSpaceDN w:val="0"/>
        <w:adjustRightInd w:val="0"/>
        <w:spacing w:after="0" w:line="240" w:lineRule="auto"/>
        <w:ind w:left="708" w:firstLine="708"/>
        <w:jc w:val="left"/>
        <w:rPr>
          <w:rFonts w:cstheme="minorHAnsi"/>
          <w:szCs w:val="24"/>
        </w:rPr>
      </w:pPr>
      <w:r w:rsidRPr="00D25110">
        <w:rPr>
          <w:rFonts w:cstheme="minorHAnsi"/>
          <w:szCs w:val="24"/>
        </w:rPr>
        <w:t>101 Administration générale - Préfecture de police</w:t>
      </w:r>
      <w:r w:rsidRPr="00D25110">
        <w:rPr>
          <w:rStyle w:val="Appelnotedebasdep"/>
          <w:rFonts w:cstheme="minorHAnsi"/>
          <w:szCs w:val="24"/>
        </w:rPr>
        <w:footnoteReference w:id="36"/>
      </w:r>
      <w:r w:rsidRPr="00D25110">
        <w:rPr>
          <w:rFonts w:cstheme="minorHAnsi"/>
          <w:sz w:val="14"/>
          <w:szCs w:val="16"/>
        </w:rPr>
        <w:t>64</w:t>
      </w:r>
      <w:r w:rsidRPr="00D25110">
        <w:rPr>
          <w:rFonts w:cstheme="minorHAnsi"/>
          <w:szCs w:val="24"/>
        </w:rPr>
        <w:t>¶</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1011 Informations, communication, publicité ¶</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1012 Fêtes et cérémonies ¶</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1013 Frais de représentation</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1014 Aide aux associations ¶</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1015 Police administrative</w:t>
      </w:r>
    </w:p>
    <w:p w:rsidR="001C0B95" w:rsidRPr="00D25110" w:rsidRDefault="001C0B95" w:rsidP="001C0B95">
      <w:pPr>
        <w:autoSpaceDE w:val="0"/>
        <w:autoSpaceDN w:val="0"/>
        <w:adjustRightInd w:val="0"/>
        <w:spacing w:after="0" w:line="240" w:lineRule="auto"/>
        <w:ind w:left="2124"/>
        <w:jc w:val="left"/>
        <w:rPr>
          <w:rFonts w:cstheme="minorHAnsi"/>
          <w:color w:val="0070C1"/>
          <w:szCs w:val="24"/>
        </w:rPr>
      </w:pPr>
      <w:r w:rsidRPr="00D25110">
        <w:rPr>
          <w:rFonts w:cstheme="minorHAnsi"/>
          <w:szCs w:val="24"/>
        </w:rPr>
        <w:t>1018 Autres</w:t>
      </w:r>
    </w:p>
    <w:p w:rsidR="001C0B95" w:rsidRPr="00D25110" w:rsidRDefault="001C0B95" w:rsidP="001C0B95">
      <w:pPr>
        <w:autoSpaceDE w:val="0"/>
        <w:autoSpaceDN w:val="0"/>
        <w:adjustRightInd w:val="0"/>
        <w:spacing w:after="0" w:line="240" w:lineRule="auto"/>
        <w:ind w:left="708" w:firstLine="708"/>
        <w:jc w:val="left"/>
        <w:rPr>
          <w:rFonts w:cstheme="minorHAnsi"/>
          <w:szCs w:val="24"/>
        </w:rPr>
      </w:pPr>
      <w:r w:rsidRPr="00D25110">
        <w:rPr>
          <w:rFonts w:cstheme="minorHAnsi"/>
          <w:szCs w:val="24"/>
        </w:rPr>
        <w:t>102 Autres services généraux préfecture de police</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1021 Ensembles immobiliers ¶</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lastRenderedPageBreak/>
        <w:t>1022 Mobilier</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1023 Service du matériel</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1024 Imprimerie</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1025 Informatique</w:t>
      </w:r>
    </w:p>
    <w:p w:rsidR="001C0B95" w:rsidRPr="00D25110" w:rsidRDefault="001C0B95" w:rsidP="001C0B95">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11 Police, sécurité, justice</w:t>
      </w:r>
    </w:p>
    <w:p w:rsidR="001C0B95" w:rsidRPr="00D25110" w:rsidRDefault="001C0B95" w:rsidP="001C0B95">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12 Incendie et secours</w:t>
      </w:r>
    </w:p>
    <w:p w:rsidR="001C0B95" w:rsidRPr="00D25110" w:rsidRDefault="001C0B95" w:rsidP="001C0B95">
      <w:pPr>
        <w:autoSpaceDE w:val="0"/>
        <w:autoSpaceDN w:val="0"/>
        <w:adjustRightInd w:val="0"/>
        <w:spacing w:after="0" w:line="240" w:lineRule="auto"/>
        <w:ind w:left="708" w:firstLine="708"/>
        <w:jc w:val="left"/>
        <w:rPr>
          <w:rFonts w:cstheme="minorHAnsi"/>
          <w:color w:val="0070C1"/>
          <w:szCs w:val="24"/>
        </w:rPr>
      </w:pPr>
      <w:r w:rsidRPr="00D25110">
        <w:rPr>
          <w:rFonts w:cstheme="minorHAnsi"/>
          <w:szCs w:val="24"/>
        </w:rPr>
        <w:t>121 Sapeurs-pompiers - Préfecture de police</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1211 Brigade de sapeurs-pompiers de Paris</w:t>
      </w:r>
    </w:p>
    <w:p w:rsidR="001C0B95" w:rsidRPr="00D25110" w:rsidRDefault="001C0B95" w:rsidP="001C0B95">
      <w:pPr>
        <w:autoSpaceDE w:val="0"/>
        <w:autoSpaceDN w:val="0"/>
        <w:adjustRightInd w:val="0"/>
        <w:spacing w:after="0" w:line="240" w:lineRule="auto"/>
        <w:ind w:left="2124"/>
        <w:jc w:val="left"/>
        <w:rPr>
          <w:rFonts w:cstheme="minorHAnsi"/>
          <w:color w:val="0070C1"/>
          <w:szCs w:val="24"/>
        </w:rPr>
      </w:pPr>
      <w:r w:rsidRPr="00D25110">
        <w:rPr>
          <w:rFonts w:cstheme="minorHAnsi"/>
          <w:szCs w:val="24"/>
        </w:rPr>
        <w:t>1212 Brigade de sapeurs-pompiers de Paris-Casernement</w:t>
      </w:r>
    </w:p>
    <w:p w:rsidR="001C0B95" w:rsidRPr="00D25110" w:rsidRDefault="001C0B95" w:rsidP="001C0B95">
      <w:pPr>
        <w:autoSpaceDE w:val="0"/>
        <w:autoSpaceDN w:val="0"/>
        <w:adjustRightInd w:val="0"/>
        <w:spacing w:after="0" w:line="240" w:lineRule="auto"/>
        <w:ind w:left="1418" w:hanging="2"/>
        <w:jc w:val="left"/>
        <w:rPr>
          <w:rFonts w:cstheme="minorHAnsi"/>
          <w:color w:val="0070C1"/>
          <w:szCs w:val="24"/>
        </w:rPr>
      </w:pPr>
      <w:r w:rsidRPr="00D25110">
        <w:rPr>
          <w:rFonts w:cstheme="minorHAnsi"/>
          <w:szCs w:val="24"/>
        </w:rPr>
        <w:t>122 Service interdépartemental de la protection civile - Préfecture de police</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13 Hygiène et salubrité publique</w:t>
      </w:r>
    </w:p>
    <w:p w:rsidR="001C0B95" w:rsidRPr="00D25110" w:rsidRDefault="001C0B95" w:rsidP="001C0B95">
      <w:pPr>
        <w:autoSpaceDE w:val="0"/>
        <w:autoSpaceDN w:val="0"/>
        <w:adjustRightInd w:val="0"/>
        <w:spacing w:after="0" w:line="240" w:lineRule="auto"/>
        <w:ind w:left="708" w:firstLine="708"/>
        <w:jc w:val="left"/>
        <w:rPr>
          <w:rFonts w:cstheme="minorHAnsi"/>
          <w:szCs w:val="24"/>
        </w:rPr>
      </w:pPr>
      <w:r w:rsidRPr="00D25110">
        <w:rPr>
          <w:rFonts w:cstheme="minorHAnsi"/>
          <w:szCs w:val="24"/>
        </w:rPr>
        <w:t>131 Services vétérinaires - Préfecture de police</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1311 Direction départementale de la protection des populations</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1312 Laboratoire central des services vétérinaires</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132 Lutte contre les nuisances - Préfecture de police</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18 Autres interventions de protections des personnes et des biens</w:t>
      </w:r>
    </w:p>
    <w:p w:rsidR="001C0B95" w:rsidRPr="00D25110" w:rsidRDefault="001C0B95" w:rsidP="001C0B95">
      <w:pPr>
        <w:autoSpaceDE w:val="0"/>
        <w:autoSpaceDN w:val="0"/>
        <w:adjustRightInd w:val="0"/>
        <w:spacing w:after="0" w:line="240" w:lineRule="auto"/>
        <w:ind w:left="708" w:firstLine="708"/>
        <w:jc w:val="left"/>
        <w:rPr>
          <w:rFonts w:cstheme="minorHAnsi"/>
          <w:szCs w:val="24"/>
        </w:rPr>
      </w:pPr>
      <w:r w:rsidRPr="00D25110">
        <w:rPr>
          <w:rFonts w:cstheme="minorHAnsi"/>
          <w:szCs w:val="24"/>
        </w:rPr>
        <w:t>181 Services locaux spécialisés - préfecture de police</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1811 Infirmerie psychiatrique</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1812 Contrôle des garnis</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1813 Périls d'immeubles</w:t>
      </w:r>
    </w:p>
    <w:p w:rsidR="001C0B95" w:rsidRPr="00D25110" w:rsidRDefault="001C0B95" w:rsidP="001C0B95">
      <w:pPr>
        <w:autoSpaceDE w:val="0"/>
        <w:autoSpaceDN w:val="0"/>
        <w:adjustRightInd w:val="0"/>
        <w:spacing w:after="0" w:line="240" w:lineRule="auto"/>
        <w:ind w:left="1418" w:hanging="2"/>
        <w:jc w:val="left"/>
        <w:rPr>
          <w:rFonts w:cstheme="minorHAnsi"/>
          <w:szCs w:val="24"/>
        </w:rPr>
      </w:pPr>
      <w:r w:rsidRPr="00D25110">
        <w:rPr>
          <w:rFonts w:cstheme="minorHAnsi"/>
          <w:szCs w:val="24"/>
        </w:rPr>
        <w:t>182 Services locaux spécialisés interdépartementaux - préfecture de police</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1821 Objets trouvés</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1822 Instituts médico-légal</w:t>
      </w:r>
    </w:p>
    <w:p w:rsidR="001C0B95" w:rsidRPr="00D25110" w:rsidRDefault="001C0B95" w:rsidP="001C0B95">
      <w:pPr>
        <w:autoSpaceDE w:val="0"/>
        <w:autoSpaceDN w:val="0"/>
        <w:adjustRightInd w:val="0"/>
        <w:spacing w:after="0" w:line="240" w:lineRule="auto"/>
        <w:ind w:left="2124"/>
        <w:jc w:val="left"/>
        <w:rPr>
          <w:rFonts w:cstheme="minorHAnsi"/>
          <w:szCs w:val="24"/>
        </w:rPr>
      </w:pPr>
      <w:r w:rsidRPr="00D25110">
        <w:rPr>
          <w:rFonts w:cstheme="minorHAnsi"/>
          <w:szCs w:val="24"/>
        </w:rPr>
        <w:t>1823 Laboratoire central</w:t>
      </w:r>
    </w:p>
    <w:p w:rsidR="001C0B95" w:rsidRPr="00B93F6A" w:rsidRDefault="001C0B95" w:rsidP="00D25110">
      <w:pPr>
        <w:autoSpaceDE w:val="0"/>
        <w:autoSpaceDN w:val="0"/>
        <w:adjustRightInd w:val="0"/>
        <w:spacing w:before="240" w:after="0" w:line="240" w:lineRule="auto"/>
        <w:jc w:val="left"/>
        <w:rPr>
          <w:rFonts w:cstheme="minorHAnsi"/>
          <w:color w:val="00000A"/>
          <w:sz w:val="24"/>
          <w:szCs w:val="24"/>
        </w:rPr>
      </w:pPr>
      <w:r w:rsidRPr="00B93F6A">
        <w:rPr>
          <w:rFonts w:cstheme="minorHAnsi"/>
          <w:color w:val="00000A"/>
          <w:sz w:val="24"/>
          <w:szCs w:val="24"/>
        </w:rPr>
        <w:t>Fonction 2 - Enseignement, formation professionnelle et apprentissage</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20 Services communs</w:t>
      </w:r>
    </w:p>
    <w:p w:rsidR="001C0B95" w:rsidRPr="00D25110" w:rsidRDefault="001C0B95" w:rsidP="001C0B95">
      <w:pPr>
        <w:autoSpaceDE w:val="0"/>
        <w:autoSpaceDN w:val="0"/>
        <w:adjustRightInd w:val="0"/>
        <w:spacing w:after="0" w:line="240" w:lineRule="auto"/>
        <w:ind w:left="708" w:firstLine="708"/>
        <w:jc w:val="left"/>
        <w:rPr>
          <w:rFonts w:cstheme="minorHAnsi"/>
          <w:color w:val="00000A"/>
          <w:szCs w:val="24"/>
        </w:rPr>
      </w:pPr>
      <w:r w:rsidRPr="00D25110">
        <w:rPr>
          <w:rFonts w:cstheme="minorHAnsi"/>
          <w:color w:val="00000A"/>
          <w:szCs w:val="24"/>
        </w:rPr>
        <w:t>201 Services communs</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21 Enseignement du premier degré</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211 Écoles maternelles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212 Écoles primaires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213 Classes regroupées</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22 Enseignement du second degré</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221 Collèges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222 Lycées publics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223 Lycées privés</w:t>
      </w:r>
    </w:p>
    <w:p w:rsidR="001C0B95" w:rsidRPr="00D25110" w:rsidRDefault="001C0B95" w:rsidP="001C0B95">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23 Enseignement supérieur</w:t>
      </w:r>
    </w:p>
    <w:p w:rsidR="001C0B95" w:rsidRPr="00D25110" w:rsidRDefault="001C0B95" w:rsidP="001C0B95">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24 Cités scolaires</w:t>
      </w:r>
    </w:p>
    <w:p w:rsidR="001C0B95" w:rsidRPr="00D25110" w:rsidRDefault="001C0B95" w:rsidP="001C0B95">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25 Formation professionnelle</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251 Insertion sociale et professionnelle</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252 Formation professionnalisante des personnes en recherche d’emploi</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253 Formation certifiante des personnes en recherche d’emploi</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254 Formation des actifs occupés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255 Rémunération des stagiaires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256 Autres</w:t>
      </w:r>
    </w:p>
    <w:p w:rsidR="001C0B95" w:rsidRPr="00D25110" w:rsidRDefault="001C0B95" w:rsidP="001C0B95">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26 Apprentissage</w:t>
      </w:r>
    </w:p>
    <w:p w:rsidR="001C0B95" w:rsidRPr="00D25110" w:rsidRDefault="001C0B95" w:rsidP="001C0B95">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27 Formation sanitaire et sociale</w:t>
      </w:r>
    </w:p>
    <w:p w:rsidR="001C0B95" w:rsidRPr="00D25110" w:rsidRDefault="001C0B95" w:rsidP="001C0B95">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28 Autres services périscolaires et annexes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281 Hébergement et restauration scolaires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282 Sport scolaire</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283 Médecine scolaire</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284 Classes de découverte</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lastRenderedPageBreak/>
        <w:t>288 Autres services annexes de l’enseignement</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29 Sécurité</w:t>
      </w:r>
    </w:p>
    <w:p w:rsidR="001C0B95" w:rsidRPr="00B93F6A" w:rsidRDefault="001C0B95" w:rsidP="00D25110">
      <w:pPr>
        <w:autoSpaceDE w:val="0"/>
        <w:autoSpaceDN w:val="0"/>
        <w:adjustRightInd w:val="0"/>
        <w:spacing w:before="240" w:after="0" w:line="240" w:lineRule="auto"/>
        <w:jc w:val="left"/>
        <w:rPr>
          <w:rFonts w:cstheme="minorHAnsi"/>
          <w:color w:val="00000A"/>
          <w:sz w:val="24"/>
          <w:szCs w:val="24"/>
        </w:rPr>
      </w:pPr>
      <w:r w:rsidRPr="00B93F6A">
        <w:rPr>
          <w:rFonts w:cstheme="minorHAnsi"/>
          <w:color w:val="00000A"/>
          <w:sz w:val="24"/>
          <w:szCs w:val="24"/>
        </w:rPr>
        <w:t>Fonction 3 - Culture, vie sociale, jeunesse, sports et loisirs</w:t>
      </w:r>
    </w:p>
    <w:p w:rsidR="001C0B95" w:rsidRPr="00D25110" w:rsidRDefault="001C0B95" w:rsidP="001C0B95">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30 Services communs</w:t>
      </w:r>
    </w:p>
    <w:p w:rsidR="001C0B95" w:rsidRPr="00D25110" w:rsidRDefault="001C0B95" w:rsidP="001C0B95">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31 Culture</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311 Activités artistiques, actions et manifestations culturelles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312 Patrimoine</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313 Bibliothèques, médiathèques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314 Musées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315 Services d'archives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316 Théâtres et spectacles vivants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317 Cinémas et autres salles de spectacles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318 Archéologie préventive</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32 Sports (autres que scolaires)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321 Salles de sport, gymnases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322 Stades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323 Piscines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324 Centres de formation sportifs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325 Autres équipements sportifs ou de loisirs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326 Manifestations sportives</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33 Jeunesse (action socio-</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331 Centres de loisirs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332 Colonies de vacances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338 Autres activités pour les jeunes</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34 Vie sociale et citoyenne</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341 Egalité entre les femmes et les hommes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348 Autres</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39 Sécurité</w:t>
      </w:r>
    </w:p>
    <w:p w:rsidR="001C0B95" w:rsidRPr="00B93F6A" w:rsidRDefault="001C0B95" w:rsidP="00D25110">
      <w:pPr>
        <w:autoSpaceDE w:val="0"/>
        <w:autoSpaceDN w:val="0"/>
        <w:adjustRightInd w:val="0"/>
        <w:spacing w:before="240" w:after="0" w:line="240" w:lineRule="auto"/>
        <w:jc w:val="left"/>
        <w:rPr>
          <w:rFonts w:cstheme="minorHAnsi"/>
          <w:color w:val="00000A"/>
          <w:sz w:val="24"/>
          <w:szCs w:val="24"/>
        </w:rPr>
      </w:pPr>
      <w:r w:rsidRPr="00B93F6A">
        <w:rPr>
          <w:rFonts w:cstheme="minorHAnsi"/>
          <w:color w:val="00000A"/>
          <w:sz w:val="24"/>
          <w:szCs w:val="24"/>
        </w:rPr>
        <w:t>Fonction 4 - Santé et action sociale (hors APA, RSA et régularisations RMI)</w:t>
      </w:r>
    </w:p>
    <w:p w:rsidR="001C0B95" w:rsidRPr="00D25110" w:rsidRDefault="001C0B95" w:rsidP="001C0B95">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41 Santé</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410 Services communs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411 PMI et planification familiale</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412 Prévention et éducation pour la santé</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413 Sécurité alimentaire</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414 Dispensaires et autres établissements sanitaires</w:t>
      </w:r>
    </w:p>
    <w:p w:rsidR="001C0B95" w:rsidRPr="00D25110" w:rsidRDefault="001C0B95" w:rsidP="001C0B95">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418 Autres actions</w:t>
      </w:r>
    </w:p>
    <w:p w:rsidR="001C0B95" w:rsidRPr="00D25110" w:rsidRDefault="001C0B95" w:rsidP="00B93F6A">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42 Action sociale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420 Services communs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421 Famille et enfance</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4211 Actions en faveur de la maternité</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4212 Aides à la famille</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4213</w:t>
      </w:r>
      <w:r w:rsidR="00B93F6A" w:rsidRPr="00D25110">
        <w:rPr>
          <w:rFonts w:cstheme="minorHAnsi"/>
          <w:color w:val="00000A"/>
          <w:szCs w:val="24"/>
        </w:rPr>
        <w:t xml:space="preserve"> Sécurité alimentaire</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4214 Adolescence</w:t>
      </w:r>
    </w:p>
    <w:p w:rsidR="001C0B95" w:rsidRPr="00D25110" w:rsidRDefault="001C0B95" w:rsidP="00B93F6A">
      <w:pPr>
        <w:autoSpaceDE w:val="0"/>
        <w:autoSpaceDN w:val="0"/>
        <w:adjustRightInd w:val="0"/>
        <w:spacing w:after="0" w:line="240" w:lineRule="auto"/>
        <w:ind w:left="708" w:firstLine="708"/>
        <w:jc w:val="left"/>
        <w:rPr>
          <w:rFonts w:cstheme="minorHAnsi"/>
          <w:color w:val="00000A"/>
          <w:szCs w:val="24"/>
        </w:rPr>
      </w:pPr>
      <w:r w:rsidRPr="00D25110">
        <w:rPr>
          <w:rFonts w:cstheme="minorHAnsi"/>
          <w:color w:val="00000A"/>
          <w:szCs w:val="24"/>
        </w:rPr>
        <w:t>422 Petite enfance</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4221 Crèches et garderies</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4222 Multi accueil</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4228 Autres actions en faveur de la petite enfance</w:t>
      </w:r>
    </w:p>
    <w:p w:rsidR="001C0B95" w:rsidRPr="00D25110" w:rsidRDefault="001C0B95" w:rsidP="00B93F6A">
      <w:pPr>
        <w:autoSpaceDE w:val="0"/>
        <w:autoSpaceDN w:val="0"/>
        <w:adjustRightInd w:val="0"/>
        <w:spacing w:after="0" w:line="240" w:lineRule="auto"/>
        <w:ind w:left="708" w:firstLine="708"/>
        <w:jc w:val="left"/>
        <w:rPr>
          <w:rFonts w:cstheme="minorHAnsi"/>
          <w:color w:val="00000A"/>
          <w:szCs w:val="24"/>
        </w:rPr>
      </w:pPr>
      <w:r w:rsidRPr="00D25110">
        <w:rPr>
          <w:rFonts w:cstheme="minorHAnsi"/>
          <w:color w:val="00000A"/>
          <w:szCs w:val="24"/>
        </w:rPr>
        <w:t>423 Personnes âgées</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4231 Forfait autonomie</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4232 Autres actions de prévention</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lastRenderedPageBreak/>
        <w:t>4238 Autres actions en faveur des personnes âgées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424 Personnes en difficulté</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425 Personnes handicapées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428 Autres interventions sociales</w:t>
      </w:r>
    </w:p>
    <w:p w:rsidR="001C0B95" w:rsidRPr="00D25110" w:rsidRDefault="001C0B95" w:rsidP="001C0B95">
      <w:pPr>
        <w:autoSpaceDE w:val="0"/>
        <w:autoSpaceDN w:val="0"/>
        <w:adjustRightInd w:val="0"/>
        <w:spacing w:after="0" w:line="240" w:lineRule="auto"/>
        <w:jc w:val="left"/>
        <w:rPr>
          <w:rFonts w:cstheme="minorHAnsi"/>
          <w:color w:val="00000A"/>
          <w:sz w:val="24"/>
          <w:szCs w:val="24"/>
        </w:rPr>
      </w:pPr>
      <w:r w:rsidRPr="00D25110">
        <w:rPr>
          <w:rFonts w:cstheme="minorHAnsi"/>
          <w:color w:val="00000A"/>
          <w:sz w:val="24"/>
          <w:szCs w:val="24"/>
        </w:rPr>
        <w:t>Fonction 4-3 - APA</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430 Services communs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431 APA à domicile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432 APA versée aux bénéficiaires en établissement</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433 APA versée à l'établissement</w:t>
      </w:r>
    </w:p>
    <w:p w:rsidR="001C0B95" w:rsidRPr="00D25110" w:rsidRDefault="001C0B95" w:rsidP="001C0B95">
      <w:pPr>
        <w:autoSpaceDE w:val="0"/>
        <w:autoSpaceDN w:val="0"/>
        <w:adjustRightInd w:val="0"/>
        <w:spacing w:after="0" w:line="240" w:lineRule="auto"/>
        <w:jc w:val="left"/>
        <w:rPr>
          <w:rFonts w:cstheme="minorHAnsi"/>
          <w:color w:val="00000A"/>
          <w:sz w:val="24"/>
          <w:szCs w:val="24"/>
        </w:rPr>
      </w:pPr>
      <w:r w:rsidRPr="00D25110">
        <w:rPr>
          <w:rFonts w:cstheme="minorHAnsi"/>
          <w:color w:val="00000A"/>
          <w:sz w:val="24"/>
          <w:szCs w:val="24"/>
        </w:rPr>
        <w:t>Fonction 4-4 RSA Régularisations de RMI</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441 Insertion sociale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442 Santé</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443 Logement</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444 Insertion professionnelle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445 Évaluation des dépenses engagées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446 Dépenses de structure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447 RSA allocations</w:t>
      </w:r>
    </w:p>
    <w:p w:rsidR="001C0B95" w:rsidRPr="00B93F6A" w:rsidRDefault="001C0B95" w:rsidP="00B93F6A">
      <w:pPr>
        <w:autoSpaceDE w:val="0"/>
        <w:autoSpaceDN w:val="0"/>
        <w:adjustRightInd w:val="0"/>
        <w:spacing w:after="0" w:line="240" w:lineRule="auto"/>
        <w:ind w:left="1416"/>
        <w:jc w:val="left"/>
        <w:rPr>
          <w:rFonts w:cstheme="minorHAnsi"/>
          <w:color w:val="00000A"/>
          <w:sz w:val="24"/>
          <w:szCs w:val="24"/>
        </w:rPr>
      </w:pPr>
      <w:r w:rsidRPr="00D25110">
        <w:rPr>
          <w:rFonts w:cstheme="minorHAnsi"/>
          <w:color w:val="00000A"/>
          <w:szCs w:val="24"/>
        </w:rPr>
        <w:t>448 Autres dépenses au titre du RSA</w:t>
      </w:r>
    </w:p>
    <w:p w:rsidR="001C0B95" w:rsidRPr="00B93F6A" w:rsidRDefault="001C0B95" w:rsidP="00D25110">
      <w:pPr>
        <w:autoSpaceDE w:val="0"/>
        <w:autoSpaceDN w:val="0"/>
        <w:adjustRightInd w:val="0"/>
        <w:spacing w:before="240" w:after="0" w:line="240" w:lineRule="auto"/>
        <w:jc w:val="left"/>
        <w:rPr>
          <w:rFonts w:cstheme="minorHAnsi"/>
          <w:color w:val="00000A"/>
          <w:sz w:val="24"/>
          <w:szCs w:val="24"/>
        </w:rPr>
      </w:pPr>
      <w:r w:rsidRPr="00B93F6A">
        <w:rPr>
          <w:rFonts w:cstheme="minorHAnsi"/>
          <w:color w:val="00000A"/>
          <w:sz w:val="24"/>
          <w:szCs w:val="24"/>
        </w:rPr>
        <w:t>Fonction 5 - Aménagement des territoires et habitat</w:t>
      </w:r>
    </w:p>
    <w:p w:rsidR="001C0B95" w:rsidRPr="00D25110" w:rsidRDefault="001C0B95" w:rsidP="00B93F6A">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50 Services communs</w:t>
      </w:r>
    </w:p>
    <w:p w:rsidR="001C0B95" w:rsidRPr="00D25110" w:rsidRDefault="001C0B95" w:rsidP="00B93F6A">
      <w:pPr>
        <w:autoSpaceDE w:val="0"/>
        <w:autoSpaceDN w:val="0"/>
        <w:adjustRightInd w:val="0"/>
        <w:spacing w:after="0" w:line="240" w:lineRule="auto"/>
        <w:ind w:left="708" w:firstLine="708"/>
        <w:jc w:val="left"/>
        <w:rPr>
          <w:rFonts w:cstheme="minorHAnsi"/>
          <w:color w:val="00000A"/>
          <w:szCs w:val="24"/>
        </w:rPr>
      </w:pPr>
      <w:r w:rsidRPr="00D25110">
        <w:rPr>
          <w:rFonts w:cstheme="minorHAnsi"/>
          <w:color w:val="00000A"/>
          <w:szCs w:val="24"/>
        </w:rPr>
        <w:t>501 Services communs</w:t>
      </w:r>
    </w:p>
    <w:p w:rsidR="001C0B95" w:rsidRPr="00D25110" w:rsidRDefault="001C0B95" w:rsidP="00B93F6A">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51 Aménagement et services urbains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510 Services communs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511 Espaces verts urbains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512 Éclairage public</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513 Art public</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514 Électrification</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515</w:t>
      </w:r>
      <w:r w:rsidR="00B93F6A" w:rsidRPr="00D25110">
        <w:rPr>
          <w:rFonts w:cstheme="minorHAnsi"/>
          <w:color w:val="00000A"/>
          <w:szCs w:val="24"/>
        </w:rPr>
        <w:t xml:space="preserve"> Opérations d’aménagement</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518</w:t>
      </w:r>
      <w:r w:rsidR="00B93F6A" w:rsidRPr="00D25110">
        <w:rPr>
          <w:rFonts w:cstheme="minorHAnsi"/>
          <w:color w:val="00000A"/>
          <w:szCs w:val="24"/>
        </w:rPr>
        <w:t xml:space="preserve"> Autres aménagements urbains</w:t>
      </w:r>
    </w:p>
    <w:p w:rsidR="001C0B95" w:rsidRPr="00D25110" w:rsidRDefault="001C0B95" w:rsidP="00B93F6A">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52 Politique de la ville</w:t>
      </w:r>
    </w:p>
    <w:p w:rsidR="001C0B95" w:rsidRPr="00D25110" w:rsidRDefault="001C0B95" w:rsidP="00B93F6A">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53 Agglomérations et villes moyennes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54 Espace rural et autres espaces de développement</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55 Habitat (Logement)</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551 Parc privé de la collectivité</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552 Aide au secteur locatif</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553 Aide à l'accession à la propriété</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554</w:t>
      </w:r>
      <w:r w:rsidR="00B93F6A" w:rsidRPr="00D25110">
        <w:rPr>
          <w:rFonts w:cstheme="minorHAnsi"/>
          <w:color w:val="00000A"/>
          <w:szCs w:val="24"/>
        </w:rPr>
        <w:t xml:space="preserve"> Aire d’accueil des gens du voyage</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555 Logement social</w:t>
      </w:r>
    </w:p>
    <w:p w:rsidR="001C0B95" w:rsidRPr="00D25110" w:rsidRDefault="001C0B95" w:rsidP="00B93F6A">
      <w:pPr>
        <w:autoSpaceDE w:val="0"/>
        <w:autoSpaceDN w:val="0"/>
        <w:adjustRightInd w:val="0"/>
        <w:spacing w:after="0" w:line="240" w:lineRule="auto"/>
        <w:ind w:left="708" w:firstLine="708"/>
        <w:jc w:val="left"/>
        <w:rPr>
          <w:rFonts w:cstheme="minorHAnsi"/>
          <w:color w:val="00000A"/>
          <w:szCs w:val="24"/>
        </w:rPr>
      </w:pPr>
      <w:r w:rsidRPr="00D25110">
        <w:rPr>
          <w:rFonts w:cstheme="minorHAnsi"/>
          <w:color w:val="00000A"/>
          <w:szCs w:val="24"/>
        </w:rPr>
        <w:t>56 Actions en faveur du littoral</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57 Technologies de l'information et de la communication</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58 Autres actions</w:t>
      </w:r>
    </w:p>
    <w:p w:rsidR="001C0B95" w:rsidRPr="00D25110" w:rsidRDefault="001C0B95" w:rsidP="00B93F6A">
      <w:pPr>
        <w:autoSpaceDE w:val="0"/>
        <w:autoSpaceDN w:val="0"/>
        <w:adjustRightInd w:val="0"/>
        <w:spacing w:after="0" w:line="240" w:lineRule="auto"/>
        <w:ind w:left="1416" w:firstLine="708"/>
        <w:jc w:val="left"/>
        <w:rPr>
          <w:rFonts w:cstheme="minorHAnsi"/>
          <w:color w:val="00000A"/>
          <w:szCs w:val="24"/>
        </w:rPr>
      </w:pPr>
      <w:r w:rsidRPr="00D25110">
        <w:rPr>
          <w:rFonts w:cstheme="minorHAnsi"/>
          <w:color w:val="00000A"/>
          <w:szCs w:val="24"/>
        </w:rPr>
        <w:t>581 Réserves Foncières</w:t>
      </w:r>
    </w:p>
    <w:p w:rsidR="001C0B95" w:rsidRPr="00D25110" w:rsidRDefault="001C0B95" w:rsidP="00B93F6A">
      <w:pPr>
        <w:autoSpaceDE w:val="0"/>
        <w:autoSpaceDN w:val="0"/>
        <w:adjustRightInd w:val="0"/>
        <w:spacing w:after="0" w:line="240" w:lineRule="auto"/>
        <w:ind w:left="1416" w:firstLine="708"/>
        <w:jc w:val="left"/>
        <w:rPr>
          <w:rFonts w:cstheme="minorHAnsi"/>
          <w:color w:val="00000A"/>
          <w:szCs w:val="24"/>
        </w:rPr>
      </w:pPr>
      <w:r w:rsidRPr="00D25110">
        <w:rPr>
          <w:rFonts w:cstheme="minorHAnsi"/>
          <w:color w:val="00000A"/>
          <w:szCs w:val="24"/>
        </w:rPr>
        <w:t>588</w:t>
      </w:r>
      <w:r w:rsidR="00B93F6A" w:rsidRPr="00D25110">
        <w:rPr>
          <w:rFonts w:cstheme="minorHAnsi"/>
          <w:color w:val="00000A"/>
          <w:szCs w:val="24"/>
        </w:rPr>
        <w:t xml:space="preserve"> Autres actions d’aménagement</w:t>
      </w:r>
    </w:p>
    <w:p w:rsidR="001C0B95" w:rsidRPr="00D25110" w:rsidRDefault="001C0B95" w:rsidP="00B93F6A">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59 Sécurité</w:t>
      </w:r>
    </w:p>
    <w:p w:rsidR="001C0B95" w:rsidRPr="00B93F6A" w:rsidRDefault="001C0B95" w:rsidP="00D25110">
      <w:pPr>
        <w:autoSpaceDE w:val="0"/>
        <w:autoSpaceDN w:val="0"/>
        <w:adjustRightInd w:val="0"/>
        <w:spacing w:before="240" w:after="0" w:line="240" w:lineRule="auto"/>
        <w:jc w:val="left"/>
        <w:rPr>
          <w:rFonts w:cstheme="minorHAnsi"/>
          <w:color w:val="00000A"/>
          <w:sz w:val="24"/>
          <w:szCs w:val="24"/>
        </w:rPr>
      </w:pPr>
      <w:r w:rsidRPr="00B93F6A">
        <w:rPr>
          <w:rFonts w:cstheme="minorHAnsi"/>
          <w:color w:val="00000A"/>
          <w:sz w:val="24"/>
          <w:szCs w:val="24"/>
        </w:rPr>
        <w:t>Fonction 6 - Action économique</w:t>
      </w:r>
    </w:p>
    <w:p w:rsidR="001C0B95" w:rsidRPr="00D25110" w:rsidRDefault="001C0B95" w:rsidP="00B93F6A">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60 Services communs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61 Interventions économiques transversales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62 Structure d'animation et de développement économique</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63 Actions sectorielles</w:t>
      </w:r>
    </w:p>
    <w:p w:rsidR="001C0B95" w:rsidRPr="00D25110" w:rsidRDefault="001C0B95" w:rsidP="00B93F6A">
      <w:pPr>
        <w:autoSpaceDE w:val="0"/>
        <w:autoSpaceDN w:val="0"/>
        <w:adjustRightInd w:val="0"/>
        <w:spacing w:after="0" w:line="240" w:lineRule="auto"/>
        <w:ind w:left="708" w:firstLine="708"/>
        <w:jc w:val="left"/>
        <w:rPr>
          <w:rFonts w:cstheme="minorHAnsi"/>
          <w:color w:val="00000A"/>
          <w:szCs w:val="24"/>
        </w:rPr>
      </w:pPr>
      <w:r w:rsidRPr="00D25110">
        <w:rPr>
          <w:rFonts w:cstheme="minorHAnsi"/>
          <w:color w:val="00000A"/>
          <w:szCs w:val="24"/>
        </w:rPr>
        <w:lastRenderedPageBreak/>
        <w:t>631 Agriculture, pêche et agro-alimentaire</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6311 Laboratoire</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6312 Autres</w:t>
      </w:r>
    </w:p>
    <w:p w:rsidR="001C0B95" w:rsidRPr="00D25110" w:rsidRDefault="001C0B95" w:rsidP="00B93F6A">
      <w:pPr>
        <w:autoSpaceDE w:val="0"/>
        <w:autoSpaceDN w:val="0"/>
        <w:adjustRightInd w:val="0"/>
        <w:spacing w:after="0" w:line="240" w:lineRule="auto"/>
        <w:ind w:left="708" w:firstLine="708"/>
        <w:jc w:val="left"/>
        <w:rPr>
          <w:rFonts w:cstheme="minorHAnsi"/>
          <w:color w:val="00000A"/>
          <w:szCs w:val="24"/>
        </w:rPr>
      </w:pPr>
      <w:r w:rsidRPr="00D25110">
        <w:rPr>
          <w:rFonts w:cstheme="minorHAnsi"/>
          <w:color w:val="00000A"/>
          <w:szCs w:val="24"/>
        </w:rPr>
        <w:t>632 Industrie, commerce et artisanat</w:t>
      </w:r>
    </w:p>
    <w:p w:rsidR="001C0B95" w:rsidRPr="00D25110" w:rsidRDefault="001C0B95" w:rsidP="00B93F6A">
      <w:pPr>
        <w:autoSpaceDE w:val="0"/>
        <w:autoSpaceDN w:val="0"/>
        <w:adjustRightInd w:val="0"/>
        <w:spacing w:after="0" w:line="240" w:lineRule="auto"/>
        <w:ind w:left="708" w:firstLine="708"/>
        <w:jc w:val="left"/>
        <w:rPr>
          <w:rFonts w:cstheme="minorHAnsi"/>
          <w:color w:val="00000A"/>
          <w:szCs w:val="24"/>
        </w:rPr>
      </w:pPr>
      <w:r w:rsidRPr="00D25110">
        <w:rPr>
          <w:rFonts w:cstheme="minorHAnsi"/>
          <w:color w:val="00000A"/>
          <w:szCs w:val="24"/>
        </w:rPr>
        <w:t>633 Développement touristique</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64 Rayonnement et attractivité du territoire</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65 Insertion économique et économie sociale et solidaire</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66 Maintien et développement des services publics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67 Recherche et innovation</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68 Autres actions</w:t>
      </w:r>
    </w:p>
    <w:p w:rsidR="001C0B95" w:rsidRPr="00B93F6A" w:rsidRDefault="001C0B95" w:rsidP="00D25110">
      <w:pPr>
        <w:autoSpaceDE w:val="0"/>
        <w:autoSpaceDN w:val="0"/>
        <w:adjustRightInd w:val="0"/>
        <w:spacing w:before="240" w:after="0" w:line="240" w:lineRule="auto"/>
        <w:jc w:val="left"/>
        <w:rPr>
          <w:rFonts w:cstheme="minorHAnsi"/>
          <w:color w:val="00000A"/>
          <w:sz w:val="24"/>
          <w:szCs w:val="24"/>
        </w:rPr>
      </w:pPr>
      <w:r w:rsidRPr="00B93F6A">
        <w:rPr>
          <w:rFonts w:cstheme="minorHAnsi"/>
          <w:color w:val="00000A"/>
          <w:sz w:val="24"/>
          <w:szCs w:val="24"/>
        </w:rPr>
        <w:t>Fonction 7 - Environnement</w:t>
      </w:r>
    </w:p>
    <w:p w:rsidR="001C0B95" w:rsidRPr="00D25110" w:rsidRDefault="001C0B95" w:rsidP="00B93F6A">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70 Services communs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71 Actions transversales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72 Actions en matière de déchets et de propreté urbaine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720 Services communs de la collecte et de la propreté</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721 Collecte et traitement des déchets</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7211 Actions de prévention et de sensibilisation</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7212 Collecte des déchets</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7213 Tri, valorisation et traitement des déchets</w:t>
      </w:r>
    </w:p>
    <w:p w:rsidR="001C0B95" w:rsidRPr="00D25110" w:rsidRDefault="001C0B95" w:rsidP="00B93F6A">
      <w:pPr>
        <w:autoSpaceDE w:val="0"/>
        <w:autoSpaceDN w:val="0"/>
        <w:adjustRightInd w:val="0"/>
        <w:spacing w:after="0" w:line="240" w:lineRule="auto"/>
        <w:ind w:left="708" w:firstLine="708"/>
        <w:jc w:val="left"/>
        <w:rPr>
          <w:rFonts w:cstheme="minorHAnsi"/>
          <w:color w:val="00000A"/>
          <w:szCs w:val="24"/>
        </w:rPr>
      </w:pPr>
      <w:r w:rsidRPr="00D25110">
        <w:rPr>
          <w:rFonts w:cstheme="minorHAnsi"/>
          <w:color w:val="00000A"/>
          <w:szCs w:val="24"/>
        </w:rPr>
        <w:t>722 Propreté urbaine</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7221 Actions de prévention et de sensibilisation</w:t>
      </w:r>
    </w:p>
    <w:p w:rsidR="001C0B95" w:rsidRPr="00D25110" w:rsidRDefault="001C0B95" w:rsidP="00B93F6A">
      <w:pPr>
        <w:autoSpaceDE w:val="0"/>
        <w:autoSpaceDN w:val="0"/>
        <w:adjustRightInd w:val="0"/>
        <w:spacing w:after="0" w:line="240" w:lineRule="auto"/>
        <w:ind w:left="2124"/>
        <w:jc w:val="left"/>
        <w:rPr>
          <w:rFonts w:cstheme="minorHAnsi"/>
          <w:color w:val="00000A"/>
          <w:szCs w:val="24"/>
        </w:rPr>
      </w:pPr>
      <w:r w:rsidRPr="00D25110">
        <w:rPr>
          <w:rFonts w:cstheme="minorHAnsi"/>
          <w:color w:val="00000A"/>
          <w:szCs w:val="24"/>
        </w:rPr>
        <w:t>7222 Action en matière de propreté urbaine et de nettoiement</w:t>
      </w:r>
    </w:p>
    <w:p w:rsidR="001C0B95" w:rsidRPr="00D25110" w:rsidRDefault="001C0B95" w:rsidP="00B93F6A">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73 Actions en matière de gestion des eaux</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731 Politique de l'eau</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732 Eau potable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733 Assainissement</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734 Eaux pluviales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735 Lutte contre les inondations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74 Politique de l'air</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75 Politique de l'énergie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751 Réseaux de chaleur et de froid</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752 Énergie photovoltaïque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753 Énergie éolienne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754 Énergie hydraulique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758 Autres actions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76 Préservation du patrimoine naturel et gestion des risques technologiques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77 Environnement des infrastructures de transports</w:t>
      </w:r>
    </w:p>
    <w:p w:rsidR="001C0B95" w:rsidRPr="00B93F6A" w:rsidRDefault="001C0B95" w:rsidP="00B93F6A">
      <w:pPr>
        <w:autoSpaceDE w:val="0"/>
        <w:autoSpaceDN w:val="0"/>
        <w:adjustRightInd w:val="0"/>
        <w:spacing w:after="0" w:line="240" w:lineRule="auto"/>
        <w:ind w:left="708"/>
        <w:jc w:val="left"/>
        <w:rPr>
          <w:rFonts w:cstheme="minorHAnsi"/>
          <w:color w:val="00000A"/>
          <w:sz w:val="24"/>
          <w:szCs w:val="24"/>
        </w:rPr>
      </w:pPr>
      <w:r w:rsidRPr="00D25110">
        <w:rPr>
          <w:rFonts w:cstheme="minorHAnsi"/>
          <w:color w:val="00000A"/>
          <w:szCs w:val="24"/>
        </w:rPr>
        <w:t>78 Autres actions</w:t>
      </w:r>
    </w:p>
    <w:p w:rsidR="001C0B95" w:rsidRPr="00B93F6A" w:rsidRDefault="001C0B95" w:rsidP="00D25110">
      <w:pPr>
        <w:autoSpaceDE w:val="0"/>
        <w:autoSpaceDN w:val="0"/>
        <w:adjustRightInd w:val="0"/>
        <w:spacing w:before="240" w:after="0" w:line="240" w:lineRule="auto"/>
        <w:jc w:val="left"/>
        <w:rPr>
          <w:rFonts w:cstheme="minorHAnsi"/>
          <w:color w:val="00000A"/>
          <w:sz w:val="24"/>
          <w:szCs w:val="24"/>
        </w:rPr>
      </w:pPr>
      <w:r w:rsidRPr="00B93F6A">
        <w:rPr>
          <w:rFonts w:cstheme="minorHAnsi"/>
          <w:color w:val="00000A"/>
          <w:sz w:val="24"/>
          <w:szCs w:val="24"/>
        </w:rPr>
        <w:t>Fonction 8 - Transports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80 Services communs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81 Transports scolaires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82 Transports publics de voyageurs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820 Services communs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821 Transport sur route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822 Transport ferroviaire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823 Transport fluvial</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824 Transport maritime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825 Transport aérien</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828 Autres transports</w:t>
      </w:r>
    </w:p>
    <w:p w:rsidR="001C0B95" w:rsidRPr="00D25110" w:rsidRDefault="001C0B95" w:rsidP="00B93F6A">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83 Transports de marchandises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lastRenderedPageBreak/>
        <w:t>830 Services communs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831 Fret routier</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832 Fret ferroviaire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833 Fret fluvial</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834 Fret maritime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835 Fret aérien</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838 Autres transports</w:t>
      </w:r>
    </w:p>
    <w:p w:rsidR="001C0B95" w:rsidRPr="00D25110" w:rsidRDefault="001C0B95" w:rsidP="00B93F6A">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84 Voirie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841 Voirie nationale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842 Voirie régionale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843 Voirie départementale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844 Voirie métropolitaine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845 Voirie communale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846 Viabilité hivernale et aléas climatiques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847 Équipements de voirie</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849 Sécurité routière</w:t>
      </w:r>
    </w:p>
    <w:p w:rsidR="001C0B95" w:rsidRPr="00D25110" w:rsidRDefault="001C0B95" w:rsidP="00B93F6A">
      <w:pPr>
        <w:autoSpaceDE w:val="0"/>
        <w:autoSpaceDN w:val="0"/>
        <w:adjustRightInd w:val="0"/>
        <w:spacing w:after="0" w:line="240" w:lineRule="auto"/>
        <w:ind w:firstLine="708"/>
        <w:jc w:val="left"/>
        <w:rPr>
          <w:rFonts w:cstheme="minorHAnsi"/>
          <w:color w:val="00000A"/>
          <w:szCs w:val="24"/>
        </w:rPr>
      </w:pPr>
      <w:r w:rsidRPr="00D25110">
        <w:rPr>
          <w:rFonts w:cstheme="minorHAnsi"/>
          <w:color w:val="00000A"/>
          <w:szCs w:val="24"/>
        </w:rPr>
        <w:t>85 Infrastructures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851 Gares routières et autres infrastructures routières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852 Gares et autres infrastructures ferroviaires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853 Haltes fluviales et autres infrastructures fluviales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854 Ports et autres infrastructures portuaires</w:t>
      </w:r>
    </w:p>
    <w:p w:rsidR="001C0B95" w:rsidRPr="00D25110" w:rsidRDefault="001C0B95" w:rsidP="00B93F6A">
      <w:pPr>
        <w:autoSpaceDE w:val="0"/>
        <w:autoSpaceDN w:val="0"/>
        <w:adjustRightInd w:val="0"/>
        <w:spacing w:after="0" w:line="240" w:lineRule="auto"/>
        <w:ind w:left="1416"/>
        <w:jc w:val="left"/>
        <w:rPr>
          <w:rFonts w:cstheme="minorHAnsi"/>
          <w:color w:val="00000A"/>
          <w:szCs w:val="24"/>
        </w:rPr>
      </w:pPr>
      <w:r w:rsidRPr="00D25110">
        <w:rPr>
          <w:rFonts w:cstheme="minorHAnsi"/>
          <w:color w:val="00000A"/>
          <w:szCs w:val="24"/>
        </w:rPr>
        <w:t>855 Aéroports et autres infrastructures aéroportuaires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86 Liaisons multimodales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87 Circulations douces</w:t>
      </w:r>
    </w:p>
    <w:p w:rsidR="001C0B95" w:rsidRPr="00D25110" w:rsidRDefault="001C0B95" w:rsidP="00B93F6A">
      <w:pPr>
        <w:autoSpaceDE w:val="0"/>
        <w:autoSpaceDN w:val="0"/>
        <w:adjustRightInd w:val="0"/>
        <w:spacing w:after="0" w:line="240" w:lineRule="auto"/>
        <w:ind w:left="708"/>
        <w:jc w:val="left"/>
        <w:rPr>
          <w:rFonts w:cstheme="minorHAnsi"/>
          <w:color w:val="00000A"/>
          <w:szCs w:val="24"/>
        </w:rPr>
      </w:pPr>
      <w:r w:rsidRPr="00D25110">
        <w:rPr>
          <w:rFonts w:cstheme="minorHAnsi"/>
          <w:color w:val="00000A"/>
          <w:szCs w:val="24"/>
        </w:rPr>
        <w:t>89 Sécurité</w:t>
      </w:r>
    </w:p>
    <w:p w:rsidR="001C0B95" w:rsidRPr="00B93F6A" w:rsidRDefault="001C0B95" w:rsidP="001C0B95">
      <w:pPr>
        <w:jc w:val="left"/>
        <w:rPr>
          <w:rFonts w:cstheme="minorHAnsi"/>
        </w:rPr>
      </w:pPr>
      <w:r w:rsidRPr="00B93F6A">
        <w:rPr>
          <w:rFonts w:cstheme="minorHAnsi"/>
          <w:color w:val="00000A"/>
          <w:sz w:val="24"/>
          <w:szCs w:val="24"/>
        </w:rPr>
        <w:t>Fonction 9 - fonction en réserve</w:t>
      </w:r>
    </w:p>
    <w:p w:rsidR="00A80433" w:rsidRDefault="00A80433">
      <w:pPr>
        <w:jc w:val="left"/>
      </w:pPr>
      <w:r>
        <w:br w:type="page"/>
      </w:r>
    </w:p>
    <w:p w:rsidR="00A80433" w:rsidRDefault="00FB2580" w:rsidP="007B2689">
      <w:pPr>
        <w:pStyle w:val="Titre1"/>
        <w:jc w:val="center"/>
      </w:pPr>
      <w:bookmarkStart w:id="206" w:name="_Toc144807542"/>
      <w:bookmarkStart w:id="207" w:name="_Toc144807789"/>
      <w:bookmarkStart w:id="208" w:name="_Toc144807929"/>
      <w:bookmarkStart w:id="209" w:name="_Toc225785343"/>
      <w:r>
        <w:lastRenderedPageBreak/>
        <w:t xml:space="preserve">Annexe 3 : </w:t>
      </w:r>
      <w:r w:rsidR="00A80433">
        <w:t xml:space="preserve">Liste des chapitres budgétaires </w:t>
      </w:r>
      <w:r w:rsidR="00407D5C">
        <w:t xml:space="preserve">votés </w:t>
      </w:r>
      <w:r w:rsidR="00407D5C">
        <w:br/>
        <w:t xml:space="preserve">par nature </w:t>
      </w:r>
      <w:r w:rsidR="00A80433">
        <w:t>selon la M57</w:t>
      </w:r>
      <w:bookmarkEnd w:id="206"/>
      <w:bookmarkEnd w:id="207"/>
      <w:bookmarkEnd w:id="208"/>
      <w:bookmarkEnd w:id="209"/>
    </w:p>
    <w:p w:rsidR="00B93F6A" w:rsidRPr="00407D5C" w:rsidRDefault="00B93F6A" w:rsidP="00407D5C">
      <w:pPr>
        <w:jc w:val="center"/>
        <w:rPr>
          <w:b/>
          <w:i/>
        </w:rPr>
      </w:pPr>
      <w:r w:rsidRPr="00407D5C">
        <w:rPr>
          <w:b/>
          <w:i/>
        </w:rPr>
        <w:t>SECTION D’INVESTISSEMENT</w:t>
      </w:r>
    </w:p>
    <w:p w:rsidR="00B93F6A" w:rsidRPr="00407D5C" w:rsidRDefault="00B93F6A" w:rsidP="00407D5C">
      <w:pPr>
        <w:spacing w:after="0"/>
        <w:rPr>
          <w:b/>
        </w:rPr>
      </w:pPr>
      <w:r w:rsidRPr="00407D5C">
        <w:rPr>
          <w:b/>
        </w:rPr>
        <w:t>Chapitre globalisé réel (dépenses et recettes) :</w:t>
      </w:r>
    </w:p>
    <w:p w:rsidR="00B93F6A" w:rsidRDefault="00B93F6A" w:rsidP="00407D5C">
      <w:pPr>
        <w:spacing w:after="0"/>
      </w:pPr>
      <w:r>
        <w:t>018 – RSA</w:t>
      </w:r>
    </w:p>
    <w:p w:rsidR="00B93F6A" w:rsidRDefault="00B93F6A" w:rsidP="00B93F6A">
      <w:r>
        <w:t>204 – Subventions d’équipement versées</w:t>
      </w:r>
    </w:p>
    <w:p w:rsidR="00B93F6A" w:rsidRPr="00407D5C" w:rsidRDefault="00B93F6A" w:rsidP="00407D5C">
      <w:pPr>
        <w:spacing w:after="0"/>
        <w:rPr>
          <w:b/>
        </w:rPr>
      </w:pPr>
      <w:r w:rsidRPr="00407D5C">
        <w:rPr>
          <w:b/>
        </w:rPr>
        <w:t>Chapitres globalisés d’ordre (dépenses et recettes) :</w:t>
      </w:r>
    </w:p>
    <w:p w:rsidR="00B93F6A" w:rsidRDefault="00B93F6A" w:rsidP="00407D5C">
      <w:pPr>
        <w:spacing w:after="0"/>
      </w:pPr>
      <w:r>
        <w:t>040 – Opérations d’ordre de transfert entre sections</w:t>
      </w:r>
    </w:p>
    <w:p w:rsidR="00B93F6A" w:rsidRDefault="00B93F6A" w:rsidP="00B93F6A">
      <w:r>
        <w:t>041 – Opérations patrimoniales</w:t>
      </w:r>
    </w:p>
    <w:p w:rsidR="00B93F6A" w:rsidRPr="00407D5C" w:rsidRDefault="00B93F6A" w:rsidP="00407D5C">
      <w:pPr>
        <w:spacing w:after="0"/>
        <w:rPr>
          <w:b/>
        </w:rPr>
      </w:pPr>
      <w:r w:rsidRPr="00407D5C">
        <w:rPr>
          <w:b/>
        </w:rPr>
        <w:t>Autres chapitres réels non globalisés (dépenses et recettes) :</w:t>
      </w:r>
    </w:p>
    <w:p w:rsidR="00B93F6A" w:rsidRDefault="00B93F6A" w:rsidP="00407D5C">
      <w:pPr>
        <w:spacing w:after="0"/>
      </w:pPr>
      <w:r>
        <w:t>10 - Dotations, fonds divers et réserves</w:t>
      </w:r>
    </w:p>
    <w:p w:rsidR="00B93F6A" w:rsidRDefault="00B93F6A" w:rsidP="00407D5C">
      <w:pPr>
        <w:spacing w:after="0"/>
      </w:pPr>
      <w:r>
        <w:t>13 - Subventions d’investissement</w:t>
      </w:r>
    </w:p>
    <w:p w:rsidR="00B93F6A" w:rsidRDefault="00B93F6A" w:rsidP="00407D5C">
      <w:pPr>
        <w:spacing w:after="0"/>
      </w:pPr>
      <w:r>
        <w:t>16 - Emprunts et dettes assimilées</w:t>
      </w:r>
    </w:p>
    <w:p w:rsidR="00B93F6A" w:rsidRDefault="00B93F6A" w:rsidP="00407D5C">
      <w:pPr>
        <w:spacing w:after="0"/>
      </w:pPr>
      <w:r>
        <w:t>18 - Compte de liaison : affectation (budgets annexes - régies non personnalisées)</w:t>
      </w:r>
    </w:p>
    <w:p w:rsidR="00B93F6A" w:rsidRDefault="00B93F6A" w:rsidP="00407D5C">
      <w:pPr>
        <w:spacing w:after="0"/>
      </w:pPr>
      <w:r>
        <w:t>20 - Immobilisations incorporelles (sauf 204)</w:t>
      </w:r>
    </w:p>
    <w:p w:rsidR="00B93F6A" w:rsidRDefault="00B93F6A" w:rsidP="00407D5C">
      <w:pPr>
        <w:spacing w:after="0"/>
      </w:pPr>
      <w:r>
        <w:t>21 - Immobilisations corporelles</w:t>
      </w:r>
    </w:p>
    <w:p w:rsidR="00B93F6A" w:rsidRDefault="00B93F6A" w:rsidP="00407D5C">
      <w:pPr>
        <w:spacing w:after="0"/>
      </w:pPr>
      <w:r>
        <w:t>22 - Immobilisations reçues en affectation</w:t>
      </w:r>
    </w:p>
    <w:p w:rsidR="00B93F6A" w:rsidRDefault="00B93F6A" w:rsidP="00407D5C">
      <w:pPr>
        <w:spacing w:after="0"/>
      </w:pPr>
      <w:r>
        <w:t>23 - Immobilisations en cours (sauf 2324)</w:t>
      </w:r>
    </w:p>
    <w:p w:rsidR="00B93F6A" w:rsidRDefault="00B93F6A" w:rsidP="00407D5C">
      <w:pPr>
        <w:spacing w:after="0"/>
      </w:pPr>
      <w:r>
        <w:t>26 - Participations et créances rattachées à des participations</w:t>
      </w:r>
    </w:p>
    <w:p w:rsidR="00B93F6A" w:rsidRDefault="00B93F6A" w:rsidP="00B93F6A">
      <w:r>
        <w:t>27 - Autres immobilisations financières</w:t>
      </w:r>
    </w:p>
    <w:p w:rsidR="00B93F6A" w:rsidRPr="00407D5C" w:rsidRDefault="00B93F6A" w:rsidP="00407D5C">
      <w:pPr>
        <w:spacing w:after="0"/>
        <w:rPr>
          <w:b/>
        </w:rPr>
      </w:pPr>
      <w:r w:rsidRPr="00407D5C">
        <w:rPr>
          <w:b/>
        </w:rPr>
        <w:t>Chapitres d’opérations pour compte de tiers (dépenses ou recettes) :</w:t>
      </w:r>
    </w:p>
    <w:p w:rsidR="00B93F6A" w:rsidRDefault="00B93F6A" w:rsidP="00407D5C">
      <w:pPr>
        <w:spacing w:after="0"/>
      </w:pPr>
      <w:r>
        <w:t>45411 - complété du numéro unique d’opération- Travaux exécutés d’office (dépenses)</w:t>
      </w:r>
    </w:p>
    <w:p w:rsidR="00B93F6A" w:rsidRDefault="00B93F6A" w:rsidP="00407D5C">
      <w:pPr>
        <w:spacing w:after="0"/>
      </w:pPr>
      <w:r>
        <w:t>45412 - complété du numéro unique d’opération- Travaux exécutés d’office (recettes)</w:t>
      </w:r>
    </w:p>
    <w:p w:rsidR="00B93F6A" w:rsidRDefault="00B93F6A" w:rsidP="00407D5C">
      <w:pPr>
        <w:spacing w:after="0"/>
      </w:pPr>
      <w:r>
        <w:t>45421 - complété du numéro unique d’opération– Opérations de remembrement (dépenses)</w:t>
      </w:r>
    </w:p>
    <w:p w:rsidR="00B93F6A" w:rsidRDefault="00B93F6A" w:rsidP="00407D5C">
      <w:pPr>
        <w:spacing w:after="0"/>
      </w:pPr>
      <w:r>
        <w:t>45422 - complété du numéro unique d’opération– Opérations de remembrement (recettes)</w:t>
      </w:r>
    </w:p>
    <w:p w:rsidR="00B93F6A" w:rsidRDefault="00B93F6A" w:rsidP="00407D5C">
      <w:pPr>
        <w:spacing w:after="0"/>
      </w:pPr>
      <w:r>
        <w:t>45431 - complété du numéro unique d’opération– Opérations de défense contre la mer</w:t>
      </w:r>
      <w:r w:rsidR="00407D5C">
        <w:t xml:space="preserve"> </w:t>
      </w:r>
      <w:r>
        <w:t>(dépenses)</w:t>
      </w:r>
    </w:p>
    <w:p w:rsidR="00B93F6A" w:rsidRDefault="00B93F6A" w:rsidP="00407D5C">
      <w:pPr>
        <w:spacing w:after="0"/>
      </w:pPr>
      <w:r>
        <w:t>45432 - complété du numéro unique d’opération– Opérations de défense contre la mer (recettes)</w:t>
      </w:r>
    </w:p>
    <w:p w:rsidR="00B93F6A" w:rsidRDefault="00B93F6A" w:rsidP="00407D5C">
      <w:pPr>
        <w:spacing w:after="0"/>
      </w:pPr>
      <w:r>
        <w:t>45441 - complété du numéro unique d’opération– Opérations d’aménagement foncier</w:t>
      </w:r>
      <w:r w:rsidR="00407D5C">
        <w:t xml:space="preserve"> </w:t>
      </w:r>
      <w:r>
        <w:t>(dépenses)</w:t>
      </w:r>
    </w:p>
    <w:p w:rsidR="00B93F6A" w:rsidRDefault="00B93F6A" w:rsidP="00407D5C">
      <w:pPr>
        <w:spacing w:after="0"/>
      </w:pPr>
      <w:r>
        <w:t>45442 - complété du numéro unique d’opération– Opérations d’aménagement foncier (recettes)</w:t>
      </w:r>
    </w:p>
    <w:p w:rsidR="00B93F6A" w:rsidRDefault="00B93F6A" w:rsidP="00407D5C">
      <w:pPr>
        <w:spacing w:after="0"/>
      </w:pPr>
      <w:r>
        <w:t>4551 - complété par le numéro d’opération de mandat- Opérations d’investissement sur EPLE</w:t>
      </w:r>
      <w:r w:rsidR="00407D5C">
        <w:t xml:space="preserve"> </w:t>
      </w:r>
      <w:r>
        <w:t>(dépenses)</w:t>
      </w:r>
    </w:p>
    <w:p w:rsidR="00B93F6A" w:rsidRDefault="00B93F6A" w:rsidP="00407D5C">
      <w:pPr>
        <w:spacing w:after="0"/>
      </w:pPr>
      <w:r>
        <w:t>4552 - complété par le numéro d’opération de mandat- Opérations d’investissement sur EPLE</w:t>
      </w:r>
      <w:r w:rsidR="00407D5C">
        <w:t xml:space="preserve"> </w:t>
      </w:r>
      <w:r>
        <w:t>(recettes)</w:t>
      </w:r>
    </w:p>
    <w:p w:rsidR="00B93F6A" w:rsidRDefault="00B93F6A" w:rsidP="00407D5C">
      <w:pPr>
        <w:spacing w:after="0"/>
      </w:pPr>
      <w:r>
        <w:t>4581 - complété par le numéro d’opération de mandat- Opérations sous mandat (dépenses)</w:t>
      </w:r>
    </w:p>
    <w:p w:rsidR="00B93F6A" w:rsidRDefault="00B93F6A" w:rsidP="00B93F6A">
      <w:r>
        <w:t>4582 - complété par le numéro d’opération de mandat- Opérations sous mandat (recettes)</w:t>
      </w:r>
    </w:p>
    <w:p w:rsidR="00B93F6A" w:rsidRPr="00407D5C" w:rsidRDefault="00B93F6A" w:rsidP="00407D5C">
      <w:pPr>
        <w:spacing w:after="0"/>
        <w:rPr>
          <w:b/>
        </w:rPr>
      </w:pPr>
      <w:r w:rsidRPr="00407D5C">
        <w:rPr>
          <w:b/>
        </w:rPr>
        <w:t>Chapitre « Opérations d’équipement » (dépenses)</w:t>
      </w:r>
    </w:p>
    <w:p w:rsidR="00B93F6A" w:rsidRDefault="00B93F6A" w:rsidP="00407D5C">
      <w:pPr>
        <w:spacing w:after="0"/>
      </w:pPr>
      <w:r>
        <w:t>L’organe délibérant a la possibilité d’opter pour le vote d’une ou plusieurs opérations en section</w:t>
      </w:r>
      <w:r w:rsidR="00407D5C">
        <w:t xml:space="preserve"> </w:t>
      </w:r>
      <w:r>
        <w:t>d’investissement.</w:t>
      </w:r>
      <w:r w:rsidR="00407D5C">
        <w:t xml:space="preserve"> </w:t>
      </w:r>
      <w:r>
        <w:t>L’opération est constituée par « un ensemble d’acquisition d’immobilisations, de travaux sur</w:t>
      </w:r>
      <w:r w:rsidR="00407D5C">
        <w:t xml:space="preserve"> </w:t>
      </w:r>
      <w:r>
        <w:t>immobilisations et de frais d’études y afférents et de subventions d’équipement versées</w:t>
      </w:r>
      <w:r w:rsidR="00407D5C">
        <w:t xml:space="preserve"> </w:t>
      </w:r>
      <w:r>
        <w:t>aboutissant à la réalisation d’un ou de plusieurs ouvrages de même nature ».</w:t>
      </w:r>
    </w:p>
    <w:p w:rsidR="00B93F6A" w:rsidRDefault="00B93F6A" w:rsidP="00B93F6A">
      <w:r>
        <w:lastRenderedPageBreak/>
        <w:t>Le chapitre correspond à chacune des opérations ouvertes. Chaque opération étant affectée d’un</w:t>
      </w:r>
      <w:r w:rsidR="00407D5C">
        <w:t xml:space="preserve"> </w:t>
      </w:r>
      <w:r>
        <w:t>numéro librement défini par l’entité, (à partir de 10), ce dernier est ensuite utilisé pour identifier</w:t>
      </w:r>
      <w:r w:rsidR="00407D5C">
        <w:t xml:space="preserve"> </w:t>
      </w:r>
      <w:r>
        <w:t>chacun des chapitres « opérations d’équipement ».</w:t>
      </w:r>
    </w:p>
    <w:p w:rsidR="00B93F6A" w:rsidRPr="00407D5C" w:rsidRDefault="00B93F6A" w:rsidP="00407D5C">
      <w:pPr>
        <w:spacing w:after="0"/>
        <w:rPr>
          <w:b/>
        </w:rPr>
      </w:pPr>
      <w:r w:rsidRPr="00407D5C">
        <w:rPr>
          <w:b/>
        </w:rPr>
        <w:t>Chapitres sans exécution ne comportant que des prévisions (dépenses ou recettes) :</w:t>
      </w:r>
    </w:p>
    <w:p w:rsidR="00B93F6A" w:rsidRDefault="00B93F6A" w:rsidP="00407D5C">
      <w:pPr>
        <w:spacing w:after="0"/>
      </w:pPr>
      <w:r>
        <w:t>020 - Dépenses imprévues (dans le cadre d’une autorisation de programme) (dépenses)</w:t>
      </w:r>
    </w:p>
    <w:p w:rsidR="00B93F6A" w:rsidRDefault="00B93F6A" w:rsidP="00407D5C">
      <w:pPr>
        <w:spacing w:after="0"/>
      </w:pPr>
      <w:r>
        <w:t>021 - Virement de la section de fonctionnement (recettes)</w:t>
      </w:r>
    </w:p>
    <w:p w:rsidR="00B93F6A" w:rsidRDefault="00B93F6A" w:rsidP="00B93F6A">
      <w:r>
        <w:t>024 – Produit des cessions d’immobilisations (recettes)</w:t>
      </w:r>
    </w:p>
    <w:p w:rsidR="00D25110" w:rsidRDefault="00D25110" w:rsidP="00D25110">
      <w:pPr>
        <w:spacing w:before="240"/>
        <w:jc w:val="center"/>
        <w:rPr>
          <w:b/>
          <w:i/>
        </w:rPr>
      </w:pPr>
    </w:p>
    <w:p w:rsidR="00407D5C" w:rsidRPr="00407D5C" w:rsidRDefault="00407D5C" w:rsidP="00D25110">
      <w:pPr>
        <w:spacing w:before="240"/>
        <w:jc w:val="center"/>
        <w:rPr>
          <w:b/>
          <w:i/>
        </w:rPr>
      </w:pPr>
      <w:r w:rsidRPr="00407D5C">
        <w:rPr>
          <w:b/>
          <w:i/>
        </w:rPr>
        <w:t>SECTION DE FONCTIONNEMENT</w:t>
      </w:r>
    </w:p>
    <w:p w:rsidR="00407D5C" w:rsidRPr="00407D5C" w:rsidRDefault="00407D5C" w:rsidP="00407D5C">
      <w:pPr>
        <w:spacing w:after="0"/>
        <w:rPr>
          <w:b/>
        </w:rPr>
      </w:pPr>
      <w:r w:rsidRPr="00407D5C">
        <w:rPr>
          <w:b/>
        </w:rPr>
        <w:t>Chapitres globalisés de dépenses (réels) :</w:t>
      </w:r>
    </w:p>
    <w:p w:rsidR="00407D5C" w:rsidRDefault="00407D5C" w:rsidP="00407D5C">
      <w:pPr>
        <w:spacing w:after="0"/>
      </w:pPr>
      <w:r>
        <w:t>016 – APA</w:t>
      </w:r>
    </w:p>
    <w:p w:rsidR="00407D5C" w:rsidRDefault="00407D5C" w:rsidP="00407D5C">
      <w:r>
        <w:t>017 – RSA / Régularisation de RMI</w:t>
      </w:r>
    </w:p>
    <w:p w:rsidR="00407D5C" w:rsidRPr="00407D5C" w:rsidRDefault="00407D5C" w:rsidP="00407D5C">
      <w:pPr>
        <w:spacing w:after="0"/>
        <w:rPr>
          <w:b/>
        </w:rPr>
      </w:pPr>
      <w:r w:rsidRPr="00407D5C">
        <w:rPr>
          <w:b/>
        </w:rPr>
        <w:t>Chapitres globalisés réels (dépenses) :</w:t>
      </w:r>
    </w:p>
    <w:p w:rsidR="00407D5C" w:rsidRDefault="00407D5C" w:rsidP="00407D5C">
      <w:pPr>
        <w:spacing w:after="0"/>
      </w:pPr>
      <w:r>
        <w:t>011 - Charges à caractère général (regroupement des comptes 60 (sauf 6031), 61, 62 (sauf 621), 635, 637)</w:t>
      </w:r>
    </w:p>
    <w:p w:rsidR="00407D5C" w:rsidRDefault="00407D5C" w:rsidP="00407D5C">
      <w:pPr>
        <w:spacing w:after="0"/>
      </w:pPr>
      <w:r>
        <w:t>012 - Charges de personnel et frais assimilés (regroupement des comptes 621, 631, 633 et 64)</w:t>
      </w:r>
    </w:p>
    <w:p w:rsidR="00407D5C" w:rsidRDefault="00407D5C" w:rsidP="00407D5C">
      <w:r>
        <w:t>014 - Atténuations de produits (regroupement des comptes 701249, 70389, 70619, 7068129, 739, 74119, 74869, 748719, 748729, 749)</w:t>
      </w:r>
    </w:p>
    <w:p w:rsidR="00407D5C" w:rsidRPr="00407D5C" w:rsidRDefault="00407D5C" w:rsidP="00407D5C">
      <w:pPr>
        <w:spacing w:after="0"/>
        <w:rPr>
          <w:b/>
        </w:rPr>
      </w:pPr>
      <w:r w:rsidRPr="00407D5C">
        <w:rPr>
          <w:b/>
        </w:rPr>
        <w:t>Chapitres globalisés d’ordre (dépenses et recettes) :</w:t>
      </w:r>
    </w:p>
    <w:p w:rsidR="00407D5C" w:rsidRDefault="00407D5C" w:rsidP="00407D5C">
      <w:pPr>
        <w:spacing w:after="0"/>
      </w:pPr>
      <w:r>
        <w:t>042 - Opérations d’ordre de transfert entre sections</w:t>
      </w:r>
    </w:p>
    <w:p w:rsidR="00407D5C" w:rsidRDefault="00407D5C" w:rsidP="00407D5C">
      <w:r>
        <w:t>043 - Opérations d’ordre à l’intérieur de la section de fonctionnement</w:t>
      </w:r>
    </w:p>
    <w:p w:rsidR="00407D5C" w:rsidRPr="00407D5C" w:rsidRDefault="00407D5C" w:rsidP="00407D5C">
      <w:pPr>
        <w:spacing w:after="0"/>
        <w:rPr>
          <w:b/>
        </w:rPr>
      </w:pPr>
      <w:r w:rsidRPr="00407D5C">
        <w:rPr>
          <w:b/>
        </w:rPr>
        <w:t>Autres chapitres réels non globalisés (dépenses) :</w:t>
      </w:r>
    </w:p>
    <w:p w:rsidR="00407D5C" w:rsidRDefault="00407D5C" w:rsidP="00407D5C">
      <w:pPr>
        <w:spacing w:after="0"/>
      </w:pPr>
      <w:r>
        <w:t>65 - Autres charges de gestion courante</w:t>
      </w:r>
    </w:p>
    <w:p w:rsidR="00407D5C" w:rsidRDefault="00407D5C" w:rsidP="00407D5C">
      <w:pPr>
        <w:spacing w:after="0"/>
      </w:pPr>
      <w:r>
        <w:t>6586 - Frais de fonctionnement des groupes d’élus</w:t>
      </w:r>
    </w:p>
    <w:p w:rsidR="00407D5C" w:rsidRDefault="00407D5C" w:rsidP="00407D5C">
      <w:pPr>
        <w:spacing w:after="0"/>
      </w:pPr>
      <w:r>
        <w:t>66 - Charges financières</w:t>
      </w:r>
    </w:p>
    <w:p w:rsidR="00407D5C" w:rsidRDefault="00407D5C" w:rsidP="00407D5C">
      <w:pPr>
        <w:spacing w:after="0"/>
      </w:pPr>
      <w:r>
        <w:t>67 - Charges spécifiques</w:t>
      </w:r>
    </w:p>
    <w:p w:rsidR="00407D5C" w:rsidRDefault="00407D5C" w:rsidP="00407D5C">
      <w:r>
        <w:t>68 - Dotations aux provisions</w:t>
      </w:r>
    </w:p>
    <w:p w:rsidR="00407D5C" w:rsidRPr="00407D5C" w:rsidRDefault="00407D5C" w:rsidP="00407D5C">
      <w:pPr>
        <w:spacing w:after="0"/>
        <w:rPr>
          <w:b/>
        </w:rPr>
      </w:pPr>
      <w:r w:rsidRPr="00407D5C">
        <w:rPr>
          <w:b/>
        </w:rPr>
        <w:t>Autres chapitres réels non globalisés (recettes) :</w:t>
      </w:r>
    </w:p>
    <w:p w:rsidR="00407D5C" w:rsidRDefault="00407D5C" w:rsidP="00407D5C">
      <w:pPr>
        <w:spacing w:after="0"/>
      </w:pPr>
      <w:r>
        <w:t>70 - Produits des services, du domaine et ventes diverses</w:t>
      </w:r>
    </w:p>
    <w:p w:rsidR="00407D5C" w:rsidRDefault="00407D5C" w:rsidP="00407D5C">
      <w:pPr>
        <w:spacing w:after="0"/>
      </w:pPr>
      <w:r>
        <w:t>73 - Impôts et taxes</w:t>
      </w:r>
    </w:p>
    <w:p w:rsidR="00407D5C" w:rsidRDefault="00407D5C" w:rsidP="00407D5C">
      <w:pPr>
        <w:spacing w:after="0"/>
      </w:pPr>
      <w:r>
        <w:t>73</w:t>
      </w:r>
      <w:r w:rsidR="000027EE">
        <w:t>1 - Fiscalité locale</w:t>
      </w:r>
    </w:p>
    <w:p w:rsidR="00407D5C" w:rsidRDefault="00407D5C" w:rsidP="00407D5C">
      <w:pPr>
        <w:spacing w:after="0"/>
      </w:pPr>
      <w:r>
        <w:t>74 - Dotations et participations</w:t>
      </w:r>
    </w:p>
    <w:p w:rsidR="00407D5C" w:rsidRDefault="00407D5C" w:rsidP="00407D5C">
      <w:pPr>
        <w:spacing w:after="0"/>
      </w:pPr>
      <w:r>
        <w:t>75 - Autres produits de gestion courante</w:t>
      </w:r>
    </w:p>
    <w:p w:rsidR="00407D5C" w:rsidRDefault="00407D5C" w:rsidP="00407D5C">
      <w:pPr>
        <w:spacing w:after="0"/>
      </w:pPr>
      <w:r>
        <w:t>76 - Produits financiers</w:t>
      </w:r>
    </w:p>
    <w:p w:rsidR="00407D5C" w:rsidRDefault="00407D5C" w:rsidP="00407D5C">
      <w:pPr>
        <w:spacing w:after="0"/>
      </w:pPr>
      <w:r>
        <w:t>77 - Produits spécifiques</w:t>
      </w:r>
    </w:p>
    <w:p w:rsidR="00407D5C" w:rsidRDefault="00407D5C" w:rsidP="00407D5C">
      <w:r>
        <w:t>78 - Reprises sur provisions</w:t>
      </w:r>
    </w:p>
    <w:p w:rsidR="00407D5C" w:rsidRPr="00407D5C" w:rsidRDefault="00407D5C" w:rsidP="00407D5C">
      <w:pPr>
        <w:spacing w:after="0"/>
        <w:rPr>
          <w:b/>
        </w:rPr>
      </w:pPr>
      <w:r w:rsidRPr="00407D5C">
        <w:rPr>
          <w:b/>
        </w:rPr>
        <w:t>Chapitres sans exécution, ne comportant que des prévisions :</w:t>
      </w:r>
    </w:p>
    <w:p w:rsidR="00407D5C" w:rsidRDefault="00407D5C" w:rsidP="00407D5C">
      <w:pPr>
        <w:spacing w:after="0"/>
      </w:pPr>
      <w:r>
        <w:t>022 - Dépenses imprévues (dans le cadre d’une autorisation d’engagement)</w:t>
      </w:r>
    </w:p>
    <w:p w:rsidR="00407D5C" w:rsidRDefault="00407D5C" w:rsidP="00407D5C">
      <w:r>
        <w:t>023 - Virement à la section d’investissement</w:t>
      </w:r>
    </w:p>
    <w:p w:rsidR="00407D5C" w:rsidRPr="00407D5C" w:rsidRDefault="00407D5C" w:rsidP="00407D5C">
      <w:pPr>
        <w:spacing w:after="0"/>
        <w:rPr>
          <w:b/>
        </w:rPr>
      </w:pPr>
      <w:r w:rsidRPr="00407D5C">
        <w:rPr>
          <w:b/>
        </w:rPr>
        <w:lastRenderedPageBreak/>
        <w:t>Autre chapitres globalisés réels (recettes) :</w:t>
      </w:r>
    </w:p>
    <w:p w:rsidR="00407D5C" w:rsidRDefault="00407D5C" w:rsidP="00407D5C">
      <w:pPr>
        <w:spacing w:after="0"/>
      </w:pPr>
      <w:r>
        <w:t>013 - Atténuations de charges (regroupement des comptes 6032 en recettes et 6037 en recettes, 609, 619, 629, 6419, 6439, 6459, 6479 et 65869)</w:t>
      </w:r>
    </w:p>
    <w:p w:rsidR="00407D5C" w:rsidRDefault="00407D5C" w:rsidP="00407D5C">
      <w:pPr>
        <w:spacing w:after="0"/>
      </w:pPr>
    </w:p>
    <w:p w:rsidR="00407D5C" w:rsidRPr="00407D5C" w:rsidRDefault="00407D5C" w:rsidP="00407D5C">
      <w:pPr>
        <w:jc w:val="center"/>
        <w:rPr>
          <w:b/>
        </w:rPr>
      </w:pPr>
      <w:r w:rsidRPr="00407D5C">
        <w:rPr>
          <w:b/>
        </w:rPr>
        <w:t>Remarques générales sur les deux sections :</w:t>
      </w:r>
    </w:p>
    <w:p w:rsidR="00407D5C" w:rsidRPr="00407D5C" w:rsidRDefault="00407D5C" w:rsidP="00407D5C">
      <w:pPr>
        <w:spacing w:after="0"/>
        <w:rPr>
          <w:b/>
        </w:rPr>
      </w:pPr>
      <w:r w:rsidRPr="00407D5C">
        <w:rPr>
          <w:b/>
        </w:rPr>
        <w:t>Chapitres sans exécution, ne comportant que des prévisions :</w:t>
      </w:r>
    </w:p>
    <w:p w:rsidR="00407D5C" w:rsidRDefault="00407D5C" w:rsidP="00407D5C">
      <w:pPr>
        <w:spacing w:after="0"/>
      </w:pPr>
      <w:r>
        <w:t>020 - Dépenses imprévues (dans le cadre d’une autorisation de programme) (dépenses)</w:t>
      </w:r>
    </w:p>
    <w:p w:rsidR="00407D5C" w:rsidRDefault="00407D5C" w:rsidP="00407D5C">
      <w:pPr>
        <w:spacing w:after="0"/>
      </w:pPr>
      <w:r>
        <w:t>021 - Virement de la section de fonctionnement (recettes)</w:t>
      </w:r>
    </w:p>
    <w:p w:rsidR="00407D5C" w:rsidRDefault="00407D5C" w:rsidP="00407D5C">
      <w:pPr>
        <w:spacing w:after="0"/>
      </w:pPr>
      <w:r>
        <w:t>022 - Dépenses imprévues (dans le cadre d’une autorisation d’engagement)</w:t>
      </w:r>
    </w:p>
    <w:p w:rsidR="00407D5C" w:rsidRDefault="00407D5C" w:rsidP="00407D5C">
      <w:pPr>
        <w:spacing w:after="0"/>
      </w:pPr>
      <w:r>
        <w:t>023 - Virement à la section d’investissement (dépenses)</w:t>
      </w:r>
    </w:p>
    <w:p w:rsidR="00407D5C" w:rsidRDefault="00407D5C" w:rsidP="00407D5C">
      <w:r>
        <w:t>024 - Produits des cessions d’immobilisations (recettes)</w:t>
      </w:r>
    </w:p>
    <w:p w:rsidR="00407D5C" w:rsidRPr="00407D5C" w:rsidRDefault="00407D5C" w:rsidP="00407D5C">
      <w:pPr>
        <w:spacing w:after="0"/>
        <w:rPr>
          <w:b/>
        </w:rPr>
      </w:pPr>
      <w:r w:rsidRPr="00407D5C">
        <w:rPr>
          <w:b/>
        </w:rPr>
        <w:t>Lignes budgétaires :</w:t>
      </w:r>
    </w:p>
    <w:p w:rsidR="00407D5C" w:rsidRDefault="00407D5C" w:rsidP="00407D5C">
      <w:pPr>
        <w:spacing w:after="0"/>
      </w:pPr>
      <w:r>
        <w:t>001 - Solde d’exécution de la section d’investissement reporté</w:t>
      </w:r>
    </w:p>
    <w:p w:rsidR="00911898" w:rsidRDefault="00407D5C" w:rsidP="00407D5C">
      <w:r>
        <w:t>002 - Résultat de fonctionnement reporté</w:t>
      </w:r>
    </w:p>
    <w:p w:rsidR="00911898" w:rsidRDefault="00911898">
      <w:pPr>
        <w:jc w:val="left"/>
      </w:pPr>
    </w:p>
    <w:sectPr w:rsidR="00911898" w:rsidSect="00967A1F">
      <w:footerReference w:type="default" r:id="rId19"/>
      <w:pgSz w:w="11906" w:h="16838" w:code="9"/>
      <w:pgMar w:top="1418" w:right="1418" w:bottom="1418" w:left="1418" w:header="28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884" w:rsidRDefault="00BA1884" w:rsidP="00846C9E">
      <w:r>
        <w:separator/>
      </w:r>
    </w:p>
  </w:endnote>
  <w:endnote w:type="continuationSeparator" w:id="0">
    <w:p w:rsidR="00BA1884" w:rsidRDefault="00BA1884" w:rsidP="0084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666964"/>
      <w:docPartObj>
        <w:docPartGallery w:val="Page Numbers (Bottom of Page)"/>
        <w:docPartUnique/>
      </w:docPartObj>
    </w:sdtPr>
    <w:sdtEndPr/>
    <w:sdtContent>
      <w:p w:rsidR="00BA1884" w:rsidRDefault="00BA1884" w:rsidP="00615BF6">
        <w:pPr>
          <w:pStyle w:val="Pieddepage"/>
          <w:jc w:val="right"/>
        </w:pPr>
        <w:r w:rsidRPr="00615BF6">
          <w:rPr>
            <w:color w:val="A6A6A6" w:themeColor="background1" w:themeShade="A6"/>
          </w:rPr>
          <w:fldChar w:fldCharType="begin"/>
        </w:r>
        <w:r w:rsidRPr="00615BF6">
          <w:rPr>
            <w:color w:val="A6A6A6" w:themeColor="background1" w:themeShade="A6"/>
          </w:rPr>
          <w:instrText>PAGE   \* MERGEFORMAT</w:instrText>
        </w:r>
        <w:r w:rsidRPr="00615BF6">
          <w:rPr>
            <w:color w:val="A6A6A6" w:themeColor="background1" w:themeShade="A6"/>
          </w:rPr>
          <w:fldChar w:fldCharType="separate"/>
        </w:r>
        <w:r w:rsidR="00103E83">
          <w:rPr>
            <w:noProof/>
            <w:color w:val="A6A6A6" w:themeColor="background1" w:themeShade="A6"/>
          </w:rPr>
          <w:t>24</w:t>
        </w:r>
        <w:r w:rsidRPr="00615BF6">
          <w:rPr>
            <w:color w:val="A6A6A6" w:themeColor="background1" w:themeShade="A6"/>
          </w:rPr>
          <w:fldChar w:fldCharType="end"/>
        </w:r>
      </w:p>
    </w:sdtContent>
  </w:sdt>
  <w:p w:rsidR="00BA1884" w:rsidRDefault="00BA1884" w:rsidP="00846C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884" w:rsidRDefault="00BA1884" w:rsidP="00846C9E">
      <w:r>
        <w:separator/>
      </w:r>
    </w:p>
  </w:footnote>
  <w:footnote w:type="continuationSeparator" w:id="0">
    <w:p w:rsidR="00BA1884" w:rsidRDefault="00BA1884" w:rsidP="00846C9E">
      <w:r>
        <w:continuationSeparator/>
      </w:r>
    </w:p>
  </w:footnote>
  <w:footnote w:id="1">
    <w:p w:rsidR="00BA1884" w:rsidRDefault="00BA1884">
      <w:pPr>
        <w:pStyle w:val="Notedebasdepage"/>
      </w:pPr>
      <w:r>
        <w:rPr>
          <w:rStyle w:val="Appelnotedebasdep"/>
        </w:rPr>
        <w:footnoteRef/>
      </w:r>
      <w:r>
        <w:t xml:space="preserve"> Articles L5217-10-1 à 5217-10-15 et 5217-12-2 à 5217-12-5, à l’exception de l’article </w:t>
      </w:r>
      <w:r w:rsidRPr="00076B58">
        <w:t>L5217-12-1</w:t>
      </w:r>
      <w:r>
        <w:t>, car les dispositions propres aux dépenses obligatoires des communes continuent de s’appliquer,</w:t>
      </w:r>
      <w:r w:rsidRPr="00076B58">
        <w:t xml:space="preserve"> </w:t>
      </w:r>
      <w:r>
        <w:t>et de l</w:t>
      </w:r>
      <w:r w:rsidRPr="00076B58">
        <w:t xml:space="preserve">'article L. 5217-10-2 </w:t>
      </w:r>
      <w:r>
        <w:t>qui</w:t>
      </w:r>
      <w:r w:rsidRPr="00076B58">
        <w:t xml:space="preserve"> n'est pas applicable </w:t>
      </w:r>
      <w:r>
        <w:t xml:space="preserve">aux collectivités de moins de 50 000 habitants ; l’article </w:t>
      </w:r>
      <w:r w:rsidRPr="005567AA">
        <w:t>L. 2311-1-2</w:t>
      </w:r>
      <w:r>
        <w:t xml:space="preserve"> continue également de s’appliquer -  cf article 106 - III de la loi NOTRé.</w:t>
      </w:r>
    </w:p>
  </w:footnote>
  <w:footnote w:id="2">
    <w:p w:rsidR="00BA1884" w:rsidRDefault="00BA1884" w:rsidP="00846C9E">
      <w:pPr>
        <w:pStyle w:val="Notedebasdepage"/>
      </w:pPr>
      <w:r>
        <w:rPr>
          <w:rStyle w:val="Appelnotedebasdep"/>
        </w:rPr>
        <w:footnoteRef/>
      </w:r>
      <w:r>
        <w:t xml:space="preserve"> Le 30 avril les années de renouvellement du conseil municipal.</w:t>
      </w:r>
    </w:p>
  </w:footnote>
  <w:footnote w:id="3">
    <w:p w:rsidR="00BA1884" w:rsidRDefault="00BA1884" w:rsidP="00846C9E">
      <w:pPr>
        <w:pStyle w:val="Notedebasdepage"/>
      </w:pPr>
      <w:r>
        <w:rPr>
          <w:rStyle w:val="Appelnotedebasdep"/>
        </w:rPr>
        <w:footnoteRef/>
      </w:r>
      <w:r>
        <w:t xml:space="preserve"> </w:t>
      </w:r>
      <w:r w:rsidRPr="00C168AD">
        <w:t xml:space="preserve">Le budget supplémentaire n’a pas lieu d’être si le compte administratif est voté en même temps que le budget primitif ou s’il y a eu reprise anticipée des résultats et que le compte administratif ne fait pas apparaître </w:t>
      </w:r>
      <w:r>
        <w:t xml:space="preserve">de </w:t>
      </w:r>
      <w:r w:rsidRPr="00C168AD">
        <w:t>différence avec les montants reportés par anticipation.</w:t>
      </w:r>
    </w:p>
  </w:footnote>
  <w:footnote w:id="4">
    <w:p w:rsidR="00BA1884" w:rsidRDefault="00BA1884" w:rsidP="00846C9E">
      <w:pPr>
        <w:pStyle w:val="Notedebasdepage"/>
      </w:pPr>
      <w:r>
        <w:rPr>
          <w:rStyle w:val="Appelnotedebasdep"/>
        </w:rPr>
        <w:footnoteRef/>
      </w:r>
      <w:r>
        <w:t xml:space="preserve"> Le 30 avril les années de renouvellement du conseil municipal</w:t>
      </w:r>
    </w:p>
  </w:footnote>
  <w:footnote w:id="5">
    <w:p w:rsidR="00BA1884" w:rsidRDefault="00BA1884" w:rsidP="00846C9E">
      <w:pPr>
        <w:pStyle w:val="Notedebasdepage"/>
      </w:pPr>
      <w:r>
        <w:rPr>
          <w:rStyle w:val="Appelnotedebasdep"/>
        </w:rPr>
        <w:footnoteRef/>
      </w:r>
      <w:r>
        <w:t xml:space="preserve"> Il est possible de voter le budget primitif sans reprise des résultats (cas des collectivités votant le BP en décembre, avant la clôture de l’exercice) ou avec une reprise anticipée des résultats (cas des communes votant le compte administratif après le vote du BP)</w:t>
      </w:r>
    </w:p>
  </w:footnote>
  <w:footnote w:id="6">
    <w:p w:rsidR="00BA1884" w:rsidRDefault="00BA1884" w:rsidP="00846C9E">
      <w:pPr>
        <w:pStyle w:val="Notedebasdepage"/>
      </w:pPr>
      <w:r>
        <w:rPr>
          <w:rStyle w:val="Appelnotedebasdep"/>
        </w:rPr>
        <w:footnoteRef/>
      </w:r>
      <w:r>
        <w:t xml:space="preserve"> Cette dernière règle d’équilibre fait l’objet d’une annexe dédiée dans les maquettes budgétaires.</w:t>
      </w:r>
    </w:p>
  </w:footnote>
  <w:footnote w:id="7">
    <w:p w:rsidR="00BA1884" w:rsidRDefault="00BA1884" w:rsidP="00846C9E">
      <w:pPr>
        <w:pStyle w:val="Notedebasdepage"/>
      </w:pPr>
      <w:r>
        <w:rPr>
          <w:rStyle w:val="Appelnotedebasdep"/>
        </w:rPr>
        <w:footnoteRef/>
      </w:r>
      <w:r>
        <w:t xml:space="preserve"> La « nature » comptable est définie par l’instruction ministérielle budgétaire et comptable en vigueur et se rapproche de celle définie dans le plan comptable général ; la « fonction » désigne la destination de la dépense ou de la recette, la nomenclature fonctionnelle est également définie au sein de l’instruction budgétaire et comptable</w:t>
      </w:r>
    </w:p>
  </w:footnote>
  <w:footnote w:id="8">
    <w:p w:rsidR="00BA1884" w:rsidRDefault="00BA1884" w:rsidP="00846C9E">
      <w:pPr>
        <w:pStyle w:val="Notedebasdepage"/>
      </w:pPr>
      <w:r>
        <w:rPr>
          <w:rStyle w:val="Appelnotedebasdep"/>
        </w:rPr>
        <w:footnoteRef/>
      </w:r>
      <w:r>
        <w:t xml:space="preserve"> La liste des fonctions</w:t>
      </w:r>
      <w:r w:rsidRPr="00276BC3">
        <w:t xml:space="preserve"> </w:t>
      </w:r>
      <w:r>
        <w:t>arrêtée par la M57 figure en annexe du présent règlement</w:t>
      </w:r>
    </w:p>
  </w:footnote>
  <w:footnote w:id="9">
    <w:p w:rsidR="00BA1884" w:rsidRDefault="00BA1884" w:rsidP="00846C9E">
      <w:pPr>
        <w:pStyle w:val="Notedebasdepage"/>
      </w:pPr>
      <w:r>
        <w:rPr>
          <w:rStyle w:val="Appelnotedebasdep"/>
        </w:rPr>
        <w:footnoteRef/>
      </w:r>
      <w:r>
        <w:t xml:space="preserve"> L’équivalent de la sous-classe en comptabilité générale</w:t>
      </w:r>
    </w:p>
  </w:footnote>
  <w:footnote w:id="10">
    <w:p w:rsidR="00BA1884" w:rsidRDefault="00BA1884" w:rsidP="00846C9E">
      <w:pPr>
        <w:pStyle w:val="Notedebasdepage"/>
      </w:pPr>
      <w:r>
        <w:rPr>
          <w:rStyle w:val="Appelnotedebasdep"/>
        </w:rPr>
        <w:footnoteRef/>
      </w:r>
      <w:r>
        <w:t xml:space="preserve"> La liste des chapitres arrêtée par la M57 figure en annexe du présent règlement</w:t>
      </w:r>
    </w:p>
  </w:footnote>
  <w:footnote w:id="11">
    <w:p w:rsidR="00BA1884" w:rsidRDefault="00BA1884">
      <w:pPr>
        <w:pStyle w:val="Notedebasdepage"/>
      </w:pPr>
      <w:r>
        <w:rPr>
          <w:rStyle w:val="Appelnotedebasdep"/>
        </w:rPr>
        <w:footnoteRef/>
      </w:r>
      <w:r>
        <w:t xml:space="preserve"> </w:t>
      </w:r>
      <w:r w:rsidRPr="005403F1">
        <w:t>Il s’agit d’une disposition propre à la M57, héritée de la nomenclature précédemment utilisée par les Régions.</w:t>
      </w:r>
    </w:p>
  </w:footnote>
  <w:footnote w:id="12">
    <w:p w:rsidR="00BA1884" w:rsidRDefault="00BA1884" w:rsidP="00846C9E">
      <w:pPr>
        <w:pStyle w:val="Notedebasdepage"/>
      </w:pPr>
      <w:r>
        <w:rPr>
          <w:rStyle w:val="Appelnotedebasdep"/>
        </w:rPr>
        <w:footnoteRef/>
      </w:r>
      <w:r>
        <w:t xml:space="preserve"> </w:t>
      </w:r>
      <w:r w:rsidRPr="00C97DE7">
        <w:t>Les dépenses de personnel sont toutefois comprises dans le calcul du plafond maximum de virements de crédits pouvant être délégué au titre de la section de fonctionnement.</w:t>
      </w:r>
    </w:p>
  </w:footnote>
  <w:footnote w:id="13">
    <w:p w:rsidR="00BA1884" w:rsidRDefault="00BA1884" w:rsidP="00846C9E">
      <w:pPr>
        <w:pStyle w:val="Notedebasdepage"/>
      </w:pPr>
      <w:r>
        <w:rPr>
          <w:rStyle w:val="Appelnotedebasdep"/>
        </w:rPr>
        <w:footnoteRef/>
      </w:r>
      <w:r>
        <w:t xml:space="preserve"> </w:t>
      </w:r>
      <w:r w:rsidRPr="00AE3B25">
        <w:t>Toutefois les frais de personnel et les subventions versées aux organismes privés ne peuvent faire l'objet d'une autorisation d'engagement.</w:t>
      </w:r>
    </w:p>
  </w:footnote>
  <w:footnote w:id="14">
    <w:p w:rsidR="00BA1884" w:rsidRDefault="00BA1884" w:rsidP="00846C9E">
      <w:pPr>
        <w:pStyle w:val="Notedebasdepage"/>
      </w:pPr>
      <w:r>
        <w:rPr>
          <w:rStyle w:val="Appelnotedebasdep"/>
        </w:rPr>
        <w:footnoteRef/>
      </w:r>
      <w:r>
        <w:t xml:space="preserve"> Il est courant de distinguer les AP dites « projet » des AP dites « d’intervention » : </w:t>
      </w:r>
    </w:p>
    <w:p w:rsidR="00BA1884" w:rsidRDefault="00BA1884" w:rsidP="00846C9E">
      <w:pPr>
        <w:pStyle w:val="Notedebasdepage"/>
        <w:numPr>
          <w:ilvl w:val="0"/>
          <w:numId w:val="7"/>
        </w:numPr>
      </w:pPr>
      <w:r>
        <w:t xml:space="preserve">une AP projet est constituée d’une opération d’envergure ou d’un périmètre financier conséquent (exemple : construction d’un équipement culturel ou sportif) ; ces AP ont une durée qui est déterminée en fonction du projet ; </w:t>
      </w:r>
    </w:p>
    <w:p w:rsidR="00BA1884" w:rsidRDefault="00BA1884" w:rsidP="00846C9E">
      <w:pPr>
        <w:pStyle w:val="Notedebasdepage"/>
        <w:numPr>
          <w:ilvl w:val="0"/>
          <w:numId w:val="7"/>
        </w:numPr>
      </w:pPr>
      <w:r>
        <w:t>une AP d’intervention peut concerner plusieurs projets présentant une unité fonctionnelle ou géographique (exemple : subventions versées dans le cadre de la délégation d’aide à la pierre) ; ces AP sont généralement millésimées (exemple : DAP de l’année 2022).</w:t>
      </w:r>
    </w:p>
  </w:footnote>
  <w:footnote w:id="15">
    <w:p w:rsidR="00BA1884" w:rsidRDefault="00BA1884" w:rsidP="00846C9E">
      <w:pPr>
        <w:pStyle w:val="Notedebasdepage"/>
      </w:pPr>
      <w:r>
        <w:rPr>
          <w:rStyle w:val="Appelnotedebasdep"/>
        </w:rPr>
        <w:footnoteRef/>
      </w:r>
      <w:r>
        <w:t xml:space="preserve"> Ici, cette « annulation » est le terme règlementaire pour « clôture ».</w:t>
      </w:r>
    </w:p>
  </w:footnote>
  <w:footnote w:id="16">
    <w:p w:rsidR="00BA1884" w:rsidRDefault="00BA1884" w:rsidP="00846C9E">
      <w:pPr>
        <w:pStyle w:val="Notedebasdepage"/>
      </w:pPr>
      <w:r>
        <w:rPr>
          <w:rStyle w:val="Appelnotedebasdep"/>
        </w:rPr>
        <w:footnoteRef/>
      </w:r>
      <w:r>
        <w:t xml:space="preserve"> L2342-2 CGCT</w:t>
      </w:r>
    </w:p>
  </w:footnote>
  <w:footnote w:id="17">
    <w:p w:rsidR="00BA1884" w:rsidRDefault="00BA1884" w:rsidP="00846C9E">
      <w:pPr>
        <w:pStyle w:val="Notedebasdepage"/>
      </w:pPr>
      <w:r>
        <w:rPr>
          <w:rStyle w:val="Appelnotedebasdep"/>
        </w:rPr>
        <w:footnoteRef/>
      </w:r>
      <w:r>
        <w:t xml:space="preserve"> A compter de 23000€ annuel, la signature d’une convention est obligatoire entre l’autorité publique et l’association (d</w:t>
      </w:r>
      <w:r w:rsidRPr="00492055">
        <w:t>écret n°2001-495 du 6 juin 2001</w:t>
      </w:r>
      <w:r>
        <w:t>), or seule une délibération de l’assemblée délibérante peut autoriser le Maire à signer celle-ci. Dans la pratique, à Sotteville-lès-Rouen, les subventions supérieures à 23 000€ font l’objet d’une délibération propre.</w:t>
      </w:r>
    </w:p>
  </w:footnote>
  <w:footnote w:id="18">
    <w:p w:rsidR="00BA1884" w:rsidRDefault="00BA1884" w:rsidP="00846C9E">
      <w:pPr>
        <w:pStyle w:val="Notedebasdepage"/>
      </w:pPr>
      <w:r>
        <w:rPr>
          <w:rStyle w:val="Appelnotedebasdep"/>
        </w:rPr>
        <w:footnoteRef/>
      </w:r>
      <w:r>
        <w:t xml:space="preserve"> M57 Tome 2 Titre 3 la comptabilité de l’ordonnateur </w:t>
      </w:r>
      <w:r w:rsidRPr="009D6184">
        <w:t xml:space="preserve">6.2.1. </w:t>
      </w:r>
      <w:r>
        <w:t>p93</w:t>
      </w:r>
    </w:p>
  </w:footnote>
  <w:footnote w:id="19">
    <w:p w:rsidR="00BA1884" w:rsidRDefault="00BA1884" w:rsidP="00846C9E">
      <w:pPr>
        <w:pStyle w:val="Notedebasdepage"/>
      </w:pPr>
      <w:r>
        <w:rPr>
          <w:rStyle w:val="Appelnotedebasdep"/>
        </w:rPr>
        <w:footnoteRef/>
      </w:r>
      <w:r>
        <w:t xml:space="preserve"> ou de la Présidente du CCAS pour cette dernière entité</w:t>
      </w:r>
    </w:p>
  </w:footnote>
  <w:footnote w:id="20">
    <w:p w:rsidR="00BA1884" w:rsidRDefault="00BA1884" w:rsidP="00846C9E">
      <w:pPr>
        <w:pStyle w:val="Notedebasdepage"/>
      </w:pPr>
      <w:r>
        <w:rPr>
          <w:rStyle w:val="Appelnotedebasdep"/>
        </w:rPr>
        <w:footnoteRef/>
      </w:r>
      <w:r>
        <w:t xml:space="preserve"> </w:t>
      </w:r>
      <w:r w:rsidRPr="00AF58D2">
        <w:t>articles L. 1612-11, D. 5217-3, R. 71-111-2 et R. 72-102-2 du CGCT</w:t>
      </w:r>
    </w:p>
  </w:footnote>
  <w:footnote w:id="21">
    <w:p w:rsidR="00BA1884" w:rsidRDefault="00BA1884" w:rsidP="00846C9E">
      <w:pPr>
        <w:pStyle w:val="Notedebasdepage"/>
      </w:pPr>
      <w:r>
        <w:rPr>
          <w:rStyle w:val="Appelnotedebasdep"/>
        </w:rPr>
        <w:footnoteRef/>
      </w:r>
      <w:r>
        <w:t xml:space="preserve"> M57 : « </w:t>
      </w:r>
      <w:r w:rsidRPr="00024F26">
        <w:t>7.4.2. Le contrôle de la sincérité du compte administratif</w:t>
      </w:r>
      <w:r>
        <w:t> » p57</w:t>
      </w:r>
    </w:p>
  </w:footnote>
  <w:footnote w:id="22">
    <w:p w:rsidR="00BA1884" w:rsidRDefault="00BA1884" w:rsidP="00846C9E">
      <w:pPr>
        <w:pStyle w:val="Notedebasdepage"/>
      </w:pPr>
      <w:r>
        <w:rPr>
          <w:rStyle w:val="Appelnotedebasdep"/>
        </w:rPr>
        <w:footnoteRef/>
      </w:r>
      <w:r>
        <w:t xml:space="preserve"> Voir par ailleurs : « </w:t>
      </w:r>
      <w:r w:rsidRPr="00857D24">
        <w:t>Spécificités de la comptabilité d’engagement des recettes d’investissement à recevoir</w:t>
      </w:r>
      <w:r>
        <w:t> »</w:t>
      </w:r>
    </w:p>
  </w:footnote>
  <w:footnote w:id="23">
    <w:p w:rsidR="00BA1884" w:rsidRDefault="00BA1884">
      <w:pPr>
        <w:pStyle w:val="Notedebasdepage"/>
      </w:pPr>
      <w:r>
        <w:rPr>
          <w:rStyle w:val="Appelnotedebasdep"/>
        </w:rPr>
        <w:footnoteRef/>
      </w:r>
      <w:r>
        <w:t xml:space="preserve"> </w:t>
      </w:r>
      <w:r w:rsidRPr="00702706">
        <w:t>L1612-1</w:t>
      </w:r>
      <w:r>
        <w:t xml:space="preserve"> CGCT</w:t>
      </w:r>
    </w:p>
  </w:footnote>
  <w:footnote w:id="24">
    <w:p w:rsidR="00BA1884" w:rsidRDefault="00BA1884" w:rsidP="00702706">
      <w:pPr>
        <w:pStyle w:val="Notedebasdepage"/>
      </w:pPr>
      <w:r>
        <w:rPr>
          <w:rStyle w:val="Appelnotedebasdep"/>
        </w:rPr>
        <w:footnoteRef/>
      </w:r>
      <w:r>
        <w:t xml:space="preserve"> </w:t>
      </w:r>
      <w:r w:rsidRPr="00702706">
        <w:t>L1612-1</w:t>
      </w:r>
      <w:r>
        <w:t xml:space="preserve"> CGCT</w:t>
      </w:r>
    </w:p>
  </w:footnote>
  <w:footnote w:id="25">
    <w:p w:rsidR="00BA1884" w:rsidRDefault="00BA1884">
      <w:pPr>
        <w:pStyle w:val="Notedebasdepage"/>
      </w:pPr>
      <w:r>
        <w:rPr>
          <w:rStyle w:val="Appelnotedebasdep"/>
        </w:rPr>
        <w:footnoteRef/>
      </w:r>
      <w:r>
        <w:t xml:space="preserve"> </w:t>
      </w:r>
      <w:r w:rsidRPr="00702706">
        <w:t xml:space="preserve"> L5217-10-9</w:t>
      </w:r>
      <w:r>
        <w:t xml:space="preserve"> CGCT</w:t>
      </w:r>
    </w:p>
  </w:footnote>
  <w:footnote w:id="26">
    <w:p w:rsidR="00BA1884" w:rsidRDefault="00BA1884" w:rsidP="00846C9E">
      <w:pPr>
        <w:pStyle w:val="Notedebasdepage"/>
      </w:pPr>
      <w:r>
        <w:rPr>
          <w:rStyle w:val="Appelnotedebasdep"/>
        </w:rPr>
        <w:footnoteRef/>
      </w:r>
      <w:r>
        <w:t xml:space="preserve"> Le terme d’opération désigne ici les écritures comptables, à ne pas confondre avec le vocable « opération d’investissement » qui est une notion budgétaire désignant.</w:t>
      </w:r>
    </w:p>
  </w:footnote>
  <w:footnote w:id="27">
    <w:p w:rsidR="00BA1884" w:rsidRDefault="00BA1884" w:rsidP="00846C9E">
      <w:pPr>
        <w:pStyle w:val="Notedebasdepage"/>
      </w:pPr>
      <w:r>
        <w:rPr>
          <w:rStyle w:val="Appelnotedebasdep"/>
        </w:rPr>
        <w:footnoteRef/>
      </w:r>
      <w:r>
        <w:t xml:space="preserve"> </w:t>
      </w:r>
      <w:r w:rsidRPr="004070CE">
        <w:t>Il est à noter qu’il existe des opérations d’ordre non budgétaires : ainsi certaines écritures comptables sont exclusivement mouvementées par le comptable publique sans émission de titre ou de mandat par l’ordonnateur, donc sans qu’elles n’apparaissent dans le budget. Elles sont toutefois retracées dans le compte de gestion établi par le comptable à l’issue de l’exercice.</w:t>
      </w:r>
    </w:p>
  </w:footnote>
  <w:footnote w:id="28">
    <w:p w:rsidR="00BA1884" w:rsidRDefault="00BA1884" w:rsidP="00846C9E">
      <w:pPr>
        <w:pStyle w:val="Notedebasdepage"/>
      </w:pPr>
      <w:r>
        <w:rPr>
          <w:rStyle w:val="Appelnotedebasdep"/>
        </w:rPr>
        <w:footnoteRef/>
      </w:r>
      <w:r>
        <w:t xml:space="preserve"> </w:t>
      </w:r>
      <w:r w:rsidRPr="00B06BDE">
        <w:t>L2321-2</w:t>
      </w:r>
      <w:r>
        <w:t xml:space="preserve"> CGCT</w:t>
      </w:r>
    </w:p>
  </w:footnote>
  <w:footnote w:id="29">
    <w:p w:rsidR="00BA1884" w:rsidRDefault="00BA1884" w:rsidP="00846C9E">
      <w:pPr>
        <w:pStyle w:val="Notedebasdepage"/>
      </w:pPr>
      <w:r>
        <w:rPr>
          <w:rStyle w:val="Appelnotedebasdep"/>
        </w:rPr>
        <w:footnoteRef/>
      </w:r>
      <w:r>
        <w:t xml:space="preserve"> </w:t>
      </w:r>
      <w:r w:rsidRPr="00B427B1">
        <w:t>R2321-2</w:t>
      </w:r>
      <w:r>
        <w:t xml:space="preserve"> CGCT</w:t>
      </w:r>
    </w:p>
  </w:footnote>
  <w:footnote w:id="30">
    <w:p w:rsidR="00BA1884" w:rsidRDefault="00BA1884" w:rsidP="00846C9E">
      <w:pPr>
        <w:pStyle w:val="Notedebasdepage"/>
      </w:pPr>
      <w:r>
        <w:rPr>
          <w:rStyle w:val="Appelnotedebasdep"/>
        </w:rPr>
        <w:footnoteRef/>
      </w:r>
      <w:r>
        <w:t xml:space="preserve"> La M57 prévoit que les collectivités peuvent opter soit pour donner aux provisions le statut d’opération semi-budgétaires - le statut de droit commun - , soit le statut d’opérations d’ordre. Il est considéré que ce dernier statut rend mieux lisible la distinction entre les opérations budgétaires réelles et les opérations comptables en regroupant au sein des chapitres globalisés 040 et 042 les amortissements avec les provisions. A l’inverse, le statut d’opération semi-budgétaire, en assimilant les provisions aux opérations réelles, complexifie la présentation budgétaire en créant un chapitre budgétaire dédié aux provisions au sein des chapitres budgétaires des opérations réelles de fonctionnement, alors qu’il ne s’agit pas d’opérations réelles. </w:t>
      </w:r>
    </w:p>
  </w:footnote>
  <w:footnote w:id="31">
    <w:p w:rsidR="00BA1884" w:rsidRDefault="00BA1884" w:rsidP="009F0985">
      <w:pPr>
        <w:pStyle w:val="Notedebasdepage"/>
      </w:pPr>
      <w:r>
        <w:rPr>
          <w:rStyle w:val="Appelnotedebasdep"/>
        </w:rPr>
        <w:footnoteRef/>
      </w:r>
      <w:r>
        <w:t xml:space="preserve"> </w:t>
      </w:r>
      <w:r w:rsidRPr="009F0985">
        <w:t>Cf</w:t>
      </w:r>
      <w:r>
        <w:rPr>
          <w:i/>
        </w:rPr>
        <w:t>.</w:t>
      </w:r>
      <w:r>
        <w:t xml:space="preserve"> </w:t>
      </w:r>
      <w:r w:rsidRPr="00AD2EC9">
        <w:t>Instruction N° 10-019-M0 du 3 août 2010</w:t>
      </w:r>
      <w:r>
        <w:t xml:space="preserve"> venant préciser la circulaire interministérielle n° NOR/IOCB1015077C du 25 juin 2010 relative aux produits financiers offerts aux collectivités territoriales et à leurs établissements publics</w:t>
      </w:r>
    </w:p>
  </w:footnote>
  <w:footnote w:id="32">
    <w:p w:rsidR="00BA1884" w:rsidRDefault="00BA1884">
      <w:pPr>
        <w:pStyle w:val="Notedebasdepage"/>
      </w:pPr>
      <w:r>
        <w:rPr>
          <w:rStyle w:val="Appelnotedebasdep"/>
        </w:rPr>
        <w:footnoteRef/>
      </w:r>
      <w:r>
        <w:t xml:space="preserve"> </w:t>
      </w:r>
      <w:r w:rsidRPr="009507AF">
        <w:t>Le potentiel fiscal ne mesur</w:t>
      </w:r>
      <w:r>
        <w:t>ant</w:t>
      </w:r>
      <w:r w:rsidRPr="009507AF">
        <w:t xml:space="preserve"> que la capacité de la collectivité à mobiliser ses ressources fiscales, il ne tient pas compte de la richesse tirée par les collectivités de certaines dotations versées par l’État de m</w:t>
      </w:r>
      <w:r>
        <w:t>anière mécanique et récurrente.</w:t>
      </w:r>
    </w:p>
  </w:footnote>
  <w:footnote w:id="33">
    <w:p w:rsidR="00BA1884" w:rsidRDefault="00BA1884">
      <w:pPr>
        <w:pStyle w:val="Notedebasdepage"/>
      </w:pPr>
      <w:r>
        <w:rPr>
          <w:rStyle w:val="Appelnotedebasdep"/>
        </w:rPr>
        <w:footnoteRef/>
      </w:r>
      <w:r>
        <w:t xml:space="preserve"> Mode de calcul spécifique aux communes </w:t>
      </w:r>
      <w:r w:rsidRPr="00B10838">
        <w:t>membres d'un établissement public de coopération intercommunale faisant application du régime fiscal prévu à l'article 1609 noni</w:t>
      </w:r>
      <w:r>
        <w:t>es C du code général des impôts ; pour les autres communes et pour les établissements publics de coopération intercommunale, le coefficient de mobilisation du potentiel fiscal correspond au rapport entre le produit des contributions directes et le potentiel fiscal calculé selon des modalités prévues au CGCT.</w:t>
      </w:r>
    </w:p>
  </w:footnote>
  <w:footnote w:id="34">
    <w:p w:rsidR="00BA1884" w:rsidRDefault="00BA1884">
      <w:pPr>
        <w:pStyle w:val="Notedebasdepage"/>
      </w:pPr>
      <w:r>
        <w:rPr>
          <w:rStyle w:val="Appelnotedebasdep"/>
        </w:rPr>
        <w:footnoteRef/>
      </w:r>
      <w:r>
        <w:t xml:space="preserve"> Selon la version 2023 de la M57</w:t>
      </w:r>
    </w:p>
  </w:footnote>
  <w:footnote w:id="35">
    <w:p w:rsidR="00BA1884" w:rsidRDefault="00BA1884">
      <w:pPr>
        <w:pStyle w:val="Notedebasdepage"/>
      </w:pPr>
      <w:r>
        <w:rPr>
          <w:rStyle w:val="Appelnotedebasdep"/>
        </w:rPr>
        <w:footnoteRef/>
      </w:r>
      <w:r>
        <w:t xml:space="preserve"> </w:t>
      </w:r>
      <w:r w:rsidRPr="001C0B95">
        <w:t>Spécifique à Guyane et Martinique, loi du 27 juillet 2011</w:t>
      </w:r>
    </w:p>
  </w:footnote>
  <w:footnote w:id="36">
    <w:p w:rsidR="00BA1884" w:rsidRDefault="00BA1884" w:rsidP="001C0B95">
      <w:pPr>
        <w:pStyle w:val="Notedebasdepage"/>
      </w:pPr>
      <w:r>
        <w:rPr>
          <w:rStyle w:val="Appelnotedebasdep"/>
        </w:rPr>
        <w:footnoteRef/>
      </w:r>
      <w:r>
        <w:t xml:space="preserve"> « Préfectures de polices » et les sous rubriques associées sont réservées à la préfecture de police de Paris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24612"/>
    <w:multiLevelType w:val="hybridMultilevel"/>
    <w:tmpl w:val="CAE07FDA"/>
    <w:lvl w:ilvl="0" w:tplc="E8DA7B7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B423CA"/>
    <w:multiLevelType w:val="hybridMultilevel"/>
    <w:tmpl w:val="5C48BABC"/>
    <w:lvl w:ilvl="0" w:tplc="E8DA7B78">
      <w:start w:val="1"/>
      <w:numFmt w:val="bullet"/>
      <w:lvlText w:val="-"/>
      <w:lvlJc w:val="left"/>
      <w:pPr>
        <w:ind w:left="720" w:hanging="360"/>
      </w:pPr>
      <w:rPr>
        <w:rFonts w:ascii="Calibri" w:eastAsiaTheme="minorHAnsi" w:hAnsi="Calibri" w:cs="Calibr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F61828"/>
    <w:multiLevelType w:val="hybridMultilevel"/>
    <w:tmpl w:val="A1AA5F8A"/>
    <w:lvl w:ilvl="0" w:tplc="E8DA7B7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605695"/>
    <w:multiLevelType w:val="hybridMultilevel"/>
    <w:tmpl w:val="D6528C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0B54E7"/>
    <w:multiLevelType w:val="hybridMultilevel"/>
    <w:tmpl w:val="EB9A25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264EBE"/>
    <w:multiLevelType w:val="hybridMultilevel"/>
    <w:tmpl w:val="06B49CC4"/>
    <w:lvl w:ilvl="0" w:tplc="E8DA7B7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C4521C"/>
    <w:multiLevelType w:val="hybridMultilevel"/>
    <w:tmpl w:val="A31E55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4315C0"/>
    <w:multiLevelType w:val="hybridMultilevel"/>
    <w:tmpl w:val="325EAA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6F226E"/>
    <w:multiLevelType w:val="hybridMultilevel"/>
    <w:tmpl w:val="3F202B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A7112C"/>
    <w:multiLevelType w:val="hybridMultilevel"/>
    <w:tmpl w:val="F422821A"/>
    <w:lvl w:ilvl="0" w:tplc="E8DA7B78">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CA53DF"/>
    <w:multiLevelType w:val="hybridMultilevel"/>
    <w:tmpl w:val="9DB48F6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C97539"/>
    <w:multiLevelType w:val="hybridMultilevel"/>
    <w:tmpl w:val="CE5675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FBA50CD"/>
    <w:multiLevelType w:val="hybridMultilevel"/>
    <w:tmpl w:val="075CA984"/>
    <w:lvl w:ilvl="0" w:tplc="E8DA7B7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9D8739E"/>
    <w:multiLevelType w:val="hybridMultilevel"/>
    <w:tmpl w:val="652A703A"/>
    <w:lvl w:ilvl="0" w:tplc="E8DA7B78">
      <w:start w:val="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2C515A76"/>
    <w:multiLevelType w:val="hybridMultilevel"/>
    <w:tmpl w:val="464653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2121113"/>
    <w:multiLevelType w:val="hybridMultilevel"/>
    <w:tmpl w:val="523AE8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5EE25EB"/>
    <w:multiLevelType w:val="hybridMultilevel"/>
    <w:tmpl w:val="B36844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7C82696"/>
    <w:multiLevelType w:val="hybridMultilevel"/>
    <w:tmpl w:val="ECC00576"/>
    <w:lvl w:ilvl="0" w:tplc="43D223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7CF3A1E"/>
    <w:multiLevelType w:val="hybridMultilevel"/>
    <w:tmpl w:val="B284256E"/>
    <w:lvl w:ilvl="0" w:tplc="E8DA7B7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95A7539"/>
    <w:multiLevelType w:val="hybridMultilevel"/>
    <w:tmpl w:val="B5CCC30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C392436"/>
    <w:multiLevelType w:val="hybridMultilevel"/>
    <w:tmpl w:val="CD4C702E"/>
    <w:lvl w:ilvl="0" w:tplc="E8DA7B7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76298A"/>
    <w:multiLevelType w:val="hybridMultilevel"/>
    <w:tmpl w:val="B61A76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F13078B"/>
    <w:multiLevelType w:val="hybridMultilevel"/>
    <w:tmpl w:val="3C305894"/>
    <w:lvl w:ilvl="0" w:tplc="EA28BC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0023D29"/>
    <w:multiLevelType w:val="hybridMultilevel"/>
    <w:tmpl w:val="07A818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54D6373"/>
    <w:multiLevelType w:val="hybridMultilevel"/>
    <w:tmpl w:val="0CD21B16"/>
    <w:lvl w:ilvl="0" w:tplc="E8DA7B7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8A65796"/>
    <w:multiLevelType w:val="hybridMultilevel"/>
    <w:tmpl w:val="C46AA09C"/>
    <w:lvl w:ilvl="0" w:tplc="E8DA7B7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8AB7F7C"/>
    <w:multiLevelType w:val="hybridMultilevel"/>
    <w:tmpl w:val="2640B5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8DC605D"/>
    <w:multiLevelType w:val="hybridMultilevel"/>
    <w:tmpl w:val="87347052"/>
    <w:lvl w:ilvl="0" w:tplc="E8DA7B78">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D1E3F9F"/>
    <w:multiLevelType w:val="hybridMultilevel"/>
    <w:tmpl w:val="DE0C2A32"/>
    <w:lvl w:ilvl="0" w:tplc="E8DA7B7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FBA556F"/>
    <w:multiLevelType w:val="hybridMultilevel"/>
    <w:tmpl w:val="703652F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1AB412B"/>
    <w:multiLevelType w:val="hybridMultilevel"/>
    <w:tmpl w:val="B1242A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48B1829"/>
    <w:multiLevelType w:val="hybridMultilevel"/>
    <w:tmpl w:val="392803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A622016"/>
    <w:multiLevelType w:val="hybridMultilevel"/>
    <w:tmpl w:val="557E29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0EB72CB"/>
    <w:multiLevelType w:val="hybridMultilevel"/>
    <w:tmpl w:val="592ECF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1886883"/>
    <w:multiLevelType w:val="hybridMultilevel"/>
    <w:tmpl w:val="4946821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3FF7633"/>
    <w:multiLevelType w:val="hybridMultilevel"/>
    <w:tmpl w:val="C9A8E1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FCF1B7B"/>
    <w:multiLevelType w:val="hybridMultilevel"/>
    <w:tmpl w:val="F6DE31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1C30342"/>
    <w:multiLevelType w:val="hybridMultilevel"/>
    <w:tmpl w:val="517A489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293527E"/>
    <w:multiLevelType w:val="hybridMultilevel"/>
    <w:tmpl w:val="DEF644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3CA6BA9"/>
    <w:multiLevelType w:val="hybridMultilevel"/>
    <w:tmpl w:val="E6A28904"/>
    <w:lvl w:ilvl="0" w:tplc="E8DA7B78">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92F44C1"/>
    <w:multiLevelType w:val="hybridMultilevel"/>
    <w:tmpl w:val="B120CA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A124709"/>
    <w:multiLevelType w:val="hybridMultilevel"/>
    <w:tmpl w:val="EDE4DA92"/>
    <w:lvl w:ilvl="0" w:tplc="E8DA7B7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BA121EB"/>
    <w:multiLevelType w:val="hybridMultilevel"/>
    <w:tmpl w:val="DB3C14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nsid w:val="7BA12BE2"/>
    <w:multiLevelType w:val="hybridMultilevel"/>
    <w:tmpl w:val="72C67F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BFB1650"/>
    <w:multiLevelType w:val="hybridMultilevel"/>
    <w:tmpl w:val="638A0EE2"/>
    <w:lvl w:ilvl="0" w:tplc="E8DA7B7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BFE0B1F"/>
    <w:multiLevelType w:val="hybridMultilevel"/>
    <w:tmpl w:val="B73CF83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41"/>
  </w:num>
  <w:num w:numId="3">
    <w:abstractNumId w:val="5"/>
  </w:num>
  <w:num w:numId="4">
    <w:abstractNumId w:val="9"/>
  </w:num>
  <w:num w:numId="5">
    <w:abstractNumId w:val="27"/>
  </w:num>
  <w:num w:numId="6">
    <w:abstractNumId w:val="0"/>
  </w:num>
  <w:num w:numId="7">
    <w:abstractNumId w:val="24"/>
  </w:num>
  <w:num w:numId="8">
    <w:abstractNumId w:val="12"/>
  </w:num>
  <w:num w:numId="9">
    <w:abstractNumId w:val="28"/>
  </w:num>
  <w:num w:numId="10">
    <w:abstractNumId w:val="20"/>
  </w:num>
  <w:num w:numId="11">
    <w:abstractNumId w:val="2"/>
  </w:num>
  <w:num w:numId="12">
    <w:abstractNumId w:val="39"/>
  </w:num>
  <w:num w:numId="13">
    <w:abstractNumId w:val="16"/>
  </w:num>
  <w:num w:numId="14">
    <w:abstractNumId w:val="42"/>
  </w:num>
  <w:num w:numId="15">
    <w:abstractNumId w:val="22"/>
  </w:num>
  <w:num w:numId="16">
    <w:abstractNumId w:val="31"/>
  </w:num>
  <w:num w:numId="17">
    <w:abstractNumId w:val="13"/>
  </w:num>
  <w:num w:numId="18">
    <w:abstractNumId w:val="18"/>
  </w:num>
  <w:num w:numId="19">
    <w:abstractNumId w:val="3"/>
  </w:num>
  <w:num w:numId="20">
    <w:abstractNumId w:val="30"/>
  </w:num>
  <w:num w:numId="21">
    <w:abstractNumId w:val="19"/>
  </w:num>
  <w:num w:numId="22">
    <w:abstractNumId w:val="7"/>
  </w:num>
  <w:num w:numId="23">
    <w:abstractNumId w:val="33"/>
  </w:num>
  <w:num w:numId="24">
    <w:abstractNumId w:val="32"/>
  </w:num>
  <w:num w:numId="25">
    <w:abstractNumId w:val="4"/>
  </w:num>
  <w:num w:numId="26">
    <w:abstractNumId w:val="26"/>
  </w:num>
  <w:num w:numId="27">
    <w:abstractNumId w:val="37"/>
  </w:num>
  <w:num w:numId="28">
    <w:abstractNumId w:val="23"/>
  </w:num>
  <w:num w:numId="29">
    <w:abstractNumId w:val="40"/>
  </w:num>
  <w:num w:numId="30">
    <w:abstractNumId w:val="43"/>
  </w:num>
  <w:num w:numId="31">
    <w:abstractNumId w:val="45"/>
  </w:num>
  <w:num w:numId="32">
    <w:abstractNumId w:val="6"/>
  </w:num>
  <w:num w:numId="33">
    <w:abstractNumId w:val="35"/>
  </w:num>
  <w:num w:numId="34">
    <w:abstractNumId w:val="14"/>
  </w:num>
  <w:num w:numId="35">
    <w:abstractNumId w:val="38"/>
  </w:num>
  <w:num w:numId="36">
    <w:abstractNumId w:val="36"/>
  </w:num>
  <w:num w:numId="37">
    <w:abstractNumId w:val="21"/>
  </w:num>
  <w:num w:numId="38">
    <w:abstractNumId w:val="29"/>
  </w:num>
  <w:num w:numId="39">
    <w:abstractNumId w:val="10"/>
  </w:num>
  <w:num w:numId="40">
    <w:abstractNumId w:val="1"/>
  </w:num>
  <w:num w:numId="41">
    <w:abstractNumId w:val="8"/>
  </w:num>
  <w:num w:numId="42">
    <w:abstractNumId w:val="34"/>
  </w:num>
  <w:num w:numId="43">
    <w:abstractNumId w:val="11"/>
  </w:num>
  <w:num w:numId="44">
    <w:abstractNumId w:val="44"/>
  </w:num>
  <w:num w:numId="45">
    <w:abstractNumId w:val="17"/>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27"/>
    <w:rsid w:val="00002267"/>
    <w:rsid w:val="000027EE"/>
    <w:rsid w:val="000034DD"/>
    <w:rsid w:val="00006F5B"/>
    <w:rsid w:val="0001757F"/>
    <w:rsid w:val="00021585"/>
    <w:rsid w:val="00024F26"/>
    <w:rsid w:val="0003004C"/>
    <w:rsid w:val="000364D5"/>
    <w:rsid w:val="0003688B"/>
    <w:rsid w:val="000558D3"/>
    <w:rsid w:val="000609B3"/>
    <w:rsid w:val="00061FAD"/>
    <w:rsid w:val="00062477"/>
    <w:rsid w:val="00071DD1"/>
    <w:rsid w:val="00076B58"/>
    <w:rsid w:val="00076C4A"/>
    <w:rsid w:val="00077C4F"/>
    <w:rsid w:val="000A1F85"/>
    <w:rsid w:val="000B773C"/>
    <w:rsid w:val="000C63FF"/>
    <w:rsid w:val="000F13E1"/>
    <w:rsid w:val="000F25F6"/>
    <w:rsid w:val="00103E83"/>
    <w:rsid w:val="00114C39"/>
    <w:rsid w:val="0011524E"/>
    <w:rsid w:val="001323B8"/>
    <w:rsid w:val="00145D75"/>
    <w:rsid w:val="001508AA"/>
    <w:rsid w:val="001658A6"/>
    <w:rsid w:val="00165F9D"/>
    <w:rsid w:val="00174854"/>
    <w:rsid w:val="001859EC"/>
    <w:rsid w:val="00190CF3"/>
    <w:rsid w:val="00195379"/>
    <w:rsid w:val="001A17CA"/>
    <w:rsid w:val="001A393E"/>
    <w:rsid w:val="001B11C0"/>
    <w:rsid w:val="001C0963"/>
    <w:rsid w:val="001C0B95"/>
    <w:rsid w:val="001C1179"/>
    <w:rsid w:val="001D03BD"/>
    <w:rsid w:val="001E2EB9"/>
    <w:rsid w:val="001F1D4A"/>
    <w:rsid w:val="001F36A3"/>
    <w:rsid w:val="001F7692"/>
    <w:rsid w:val="0020234C"/>
    <w:rsid w:val="00221EED"/>
    <w:rsid w:val="00235AD3"/>
    <w:rsid w:val="00235BAB"/>
    <w:rsid w:val="00250178"/>
    <w:rsid w:val="00252792"/>
    <w:rsid w:val="00276BC3"/>
    <w:rsid w:val="00282675"/>
    <w:rsid w:val="00284549"/>
    <w:rsid w:val="0028792F"/>
    <w:rsid w:val="00291D8E"/>
    <w:rsid w:val="002A2DE3"/>
    <w:rsid w:val="002A41AF"/>
    <w:rsid w:val="002C1216"/>
    <w:rsid w:val="002D1A69"/>
    <w:rsid w:val="002D3106"/>
    <w:rsid w:val="002F3D6F"/>
    <w:rsid w:val="00310559"/>
    <w:rsid w:val="00311808"/>
    <w:rsid w:val="00332732"/>
    <w:rsid w:val="00337DBF"/>
    <w:rsid w:val="003554FD"/>
    <w:rsid w:val="00370E45"/>
    <w:rsid w:val="00376EC5"/>
    <w:rsid w:val="003826E6"/>
    <w:rsid w:val="00386CC3"/>
    <w:rsid w:val="00391B0A"/>
    <w:rsid w:val="00392057"/>
    <w:rsid w:val="00393763"/>
    <w:rsid w:val="003A3313"/>
    <w:rsid w:val="003A55A9"/>
    <w:rsid w:val="003B586B"/>
    <w:rsid w:val="003B6F4F"/>
    <w:rsid w:val="003C5DF5"/>
    <w:rsid w:val="003D6D92"/>
    <w:rsid w:val="003E3BAA"/>
    <w:rsid w:val="00405ABD"/>
    <w:rsid w:val="004070CE"/>
    <w:rsid w:val="00407D5C"/>
    <w:rsid w:val="00421404"/>
    <w:rsid w:val="00425B95"/>
    <w:rsid w:val="0043523D"/>
    <w:rsid w:val="00445472"/>
    <w:rsid w:val="00446811"/>
    <w:rsid w:val="00454160"/>
    <w:rsid w:val="00460C58"/>
    <w:rsid w:val="004626CB"/>
    <w:rsid w:val="004632D1"/>
    <w:rsid w:val="00472E37"/>
    <w:rsid w:val="0047357C"/>
    <w:rsid w:val="00492055"/>
    <w:rsid w:val="004A4753"/>
    <w:rsid w:val="004B1AD6"/>
    <w:rsid w:val="004B4203"/>
    <w:rsid w:val="004C6227"/>
    <w:rsid w:val="004D39E7"/>
    <w:rsid w:val="00501DEA"/>
    <w:rsid w:val="00505086"/>
    <w:rsid w:val="005403F1"/>
    <w:rsid w:val="0054343B"/>
    <w:rsid w:val="005567AA"/>
    <w:rsid w:val="0055683E"/>
    <w:rsid w:val="00574F07"/>
    <w:rsid w:val="00577BC5"/>
    <w:rsid w:val="0059605B"/>
    <w:rsid w:val="005B38A7"/>
    <w:rsid w:val="005C31CE"/>
    <w:rsid w:val="005C57D5"/>
    <w:rsid w:val="005D41AB"/>
    <w:rsid w:val="005E4488"/>
    <w:rsid w:val="005F4120"/>
    <w:rsid w:val="0060385F"/>
    <w:rsid w:val="00615BF6"/>
    <w:rsid w:val="0061631D"/>
    <w:rsid w:val="006207C1"/>
    <w:rsid w:val="0064005C"/>
    <w:rsid w:val="006541D3"/>
    <w:rsid w:val="00666987"/>
    <w:rsid w:val="00671898"/>
    <w:rsid w:val="0067280D"/>
    <w:rsid w:val="0067324D"/>
    <w:rsid w:val="00677E5F"/>
    <w:rsid w:val="00681D3B"/>
    <w:rsid w:val="0069469E"/>
    <w:rsid w:val="006978A1"/>
    <w:rsid w:val="006C0833"/>
    <w:rsid w:val="006C0A86"/>
    <w:rsid w:val="006C493E"/>
    <w:rsid w:val="006C501F"/>
    <w:rsid w:val="006C5D65"/>
    <w:rsid w:val="006C614F"/>
    <w:rsid w:val="006E4CCE"/>
    <w:rsid w:val="006E7851"/>
    <w:rsid w:val="006F15AC"/>
    <w:rsid w:val="006F2B8C"/>
    <w:rsid w:val="006F45F4"/>
    <w:rsid w:val="00702706"/>
    <w:rsid w:val="00706D92"/>
    <w:rsid w:val="00710BDE"/>
    <w:rsid w:val="00730DF1"/>
    <w:rsid w:val="007361F9"/>
    <w:rsid w:val="0074583B"/>
    <w:rsid w:val="00752E13"/>
    <w:rsid w:val="007530D6"/>
    <w:rsid w:val="007563B9"/>
    <w:rsid w:val="00762303"/>
    <w:rsid w:val="00763F51"/>
    <w:rsid w:val="00764EEA"/>
    <w:rsid w:val="007722C9"/>
    <w:rsid w:val="00776275"/>
    <w:rsid w:val="00790D76"/>
    <w:rsid w:val="00794AD1"/>
    <w:rsid w:val="007B2689"/>
    <w:rsid w:val="007D42F1"/>
    <w:rsid w:val="007E17FA"/>
    <w:rsid w:val="007E5730"/>
    <w:rsid w:val="007F35ED"/>
    <w:rsid w:val="007F43A8"/>
    <w:rsid w:val="007F43CC"/>
    <w:rsid w:val="008013BA"/>
    <w:rsid w:val="00803973"/>
    <w:rsid w:val="00811534"/>
    <w:rsid w:val="00820E12"/>
    <w:rsid w:val="00830994"/>
    <w:rsid w:val="008325A8"/>
    <w:rsid w:val="00832F69"/>
    <w:rsid w:val="00846C9E"/>
    <w:rsid w:val="00850D7C"/>
    <w:rsid w:val="00853514"/>
    <w:rsid w:val="00857D24"/>
    <w:rsid w:val="008736C2"/>
    <w:rsid w:val="00877606"/>
    <w:rsid w:val="00880277"/>
    <w:rsid w:val="008A0269"/>
    <w:rsid w:val="008A43C4"/>
    <w:rsid w:val="008E0496"/>
    <w:rsid w:val="008F00B0"/>
    <w:rsid w:val="008F4647"/>
    <w:rsid w:val="008F7610"/>
    <w:rsid w:val="009038BA"/>
    <w:rsid w:val="00905596"/>
    <w:rsid w:val="00911898"/>
    <w:rsid w:val="00911C35"/>
    <w:rsid w:val="009123B4"/>
    <w:rsid w:val="009129D7"/>
    <w:rsid w:val="00924B3D"/>
    <w:rsid w:val="00941F50"/>
    <w:rsid w:val="009507AF"/>
    <w:rsid w:val="00967A1F"/>
    <w:rsid w:val="00980574"/>
    <w:rsid w:val="009820DB"/>
    <w:rsid w:val="00991574"/>
    <w:rsid w:val="00991D38"/>
    <w:rsid w:val="009967C2"/>
    <w:rsid w:val="009A0C15"/>
    <w:rsid w:val="009A69A8"/>
    <w:rsid w:val="009B25F7"/>
    <w:rsid w:val="009B4BC6"/>
    <w:rsid w:val="009B5196"/>
    <w:rsid w:val="009B607F"/>
    <w:rsid w:val="009C0CF6"/>
    <w:rsid w:val="009C2FF0"/>
    <w:rsid w:val="009C41BD"/>
    <w:rsid w:val="009C6109"/>
    <w:rsid w:val="009D6184"/>
    <w:rsid w:val="009E24FA"/>
    <w:rsid w:val="009E4748"/>
    <w:rsid w:val="009E5995"/>
    <w:rsid w:val="009F072A"/>
    <w:rsid w:val="009F0985"/>
    <w:rsid w:val="00A11D62"/>
    <w:rsid w:val="00A13903"/>
    <w:rsid w:val="00A15E17"/>
    <w:rsid w:val="00A21B9D"/>
    <w:rsid w:val="00A24139"/>
    <w:rsid w:val="00A30F55"/>
    <w:rsid w:val="00A322A8"/>
    <w:rsid w:val="00A42649"/>
    <w:rsid w:val="00A46EB0"/>
    <w:rsid w:val="00A51ED1"/>
    <w:rsid w:val="00A61F45"/>
    <w:rsid w:val="00A6347D"/>
    <w:rsid w:val="00A7460C"/>
    <w:rsid w:val="00A772C9"/>
    <w:rsid w:val="00A80433"/>
    <w:rsid w:val="00A96262"/>
    <w:rsid w:val="00A96662"/>
    <w:rsid w:val="00AA5472"/>
    <w:rsid w:val="00AD0B5D"/>
    <w:rsid w:val="00AD2EC9"/>
    <w:rsid w:val="00AD32C0"/>
    <w:rsid w:val="00AD5113"/>
    <w:rsid w:val="00AD5522"/>
    <w:rsid w:val="00AE3B25"/>
    <w:rsid w:val="00AE420B"/>
    <w:rsid w:val="00AE7777"/>
    <w:rsid w:val="00AF58D2"/>
    <w:rsid w:val="00AF74F2"/>
    <w:rsid w:val="00B00360"/>
    <w:rsid w:val="00B06BDE"/>
    <w:rsid w:val="00B10838"/>
    <w:rsid w:val="00B25498"/>
    <w:rsid w:val="00B32E86"/>
    <w:rsid w:val="00B427B1"/>
    <w:rsid w:val="00B43E83"/>
    <w:rsid w:val="00B5502C"/>
    <w:rsid w:val="00B71A25"/>
    <w:rsid w:val="00B76B8D"/>
    <w:rsid w:val="00B83E85"/>
    <w:rsid w:val="00B93F6A"/>
    <w:rsid w:val="00BA1884"/>
    <w:rsid w:val="00BA2D16"/>
    <w:rsid w:val="00BE4C55"/>
    <w:rsid w:val="00C04EAD"/>
    <w:rsid w:val="00C1358E"/>
    <w:rsid w:val="00C168AD"/>
    <w:rsid w:val="00C32E60"/>
    <w:rsid w:val="00C51109"/>
    <w:rsid w:val="00C545FA"/>
    <w:rsid w:val="00C56496"/>
    <w:rsid w:val="00C670FF"/>
    <w:rsid w:val="00C84346"/>
    <w:rsid w:val="00C97DE7"/>
    <w:rsid w:val="00CA6EA0"/>
    <w:rsid w:val="00CB550F"/>
    <w:rsid w:val="00CB7374"/>
    <w:rsid w:val="00CC05C3"/>
    <w:rsid w:val="00CD2332"/>
    <w:rsid w:val="00CE724B"/>
    <w:rsid w:val="00CF359A"/>
    <w:rsid w:val="00D01419"/>
    <w:rsid w:val="00D04E27"/>
    <w:rsid w:val="00D135F5"/>
    <w:rsid w:val="00D200A8"/>
    <w:rsid w:val="00D25110"/>
    <w:rsid w:val="00D257BE"/>
    <w:rsid w:val="00D25A10"/>
    <w:rsid w:val="00D30514"/>
    <w:rsid w:val="00D32BB9"/>
    <w:rsid w:val="00D57CE7"/>
    <w:rsid w:val="00D67961"/>
    <w:rsid w:val="00D87D5F"/>
    <w:rsid w:val="00D91D40"/>
    <w:rsid w:val="00D96094"/>
    <w:rsid w:val="00DA7136"/>
    <w:rsid w:val="00DE3549"/>
    <w:rsid w:val="00DE4C23"/>
    <w:rsid w:val="00DE7C3B"/>
    <w:rsid w:val="00DF51EA"/>
    <w:rsid w:val="00E02A6C"/>
    <w:rsid w:val="00E02FDB"/>
    <w:rsid w:val="00E05C65"/>
    <w:rsid w:val="00E05D4F"/>
    <w:rsid w:val="00E14D37"/>
    <w:rsid w:val="00E164A3"/>
    <w:rsid w:val="00E22741"/>
    <w:rsid w:val="00E3591F"/>
    <w:rsid w:val="00E4493E"/>
    <w:rsid w:val="00E542B7"/>
    <w:rsid w:val="00E67389"/>
    <w:rsid w:val="00E85F18"/>
    <w:rsid w:val="00E95E5A"/>
    <w:rsid w:val="00EE1645"/>
    <w:rsid w:val="00EE2DB4"/>
    <w:rsid w:val="00EE3E01"/>
    <w:rsid w:val="00EE420B"/>
    <w:rsid w:val="00EE5C3A"/>
    <w:rsid w:val="00F00DAB"/>
    <w:rsid w:val="00F1589C"/>
    <w:rsid w:val="00F16440"/>
    <w:rsid w:val="00F4387E"/>
    <w:rsid w:val="00F659C5"/>
    <w:rsid w:val="00F70AD9"/>
    <w:rsid w:val="00F85F22"/>
    <w:rsid w:val="00F86BF0"/>
    <w:rsid w:val="00F938C0"/>
    <w:rsid w:val="00F93D8B"/>
    <w:rsid w:val="00FB2580"/>
    <w:rsid w:val="00FC59CD"/>
    <w:rsid w:val="00FD27B9"/>
    <w:rsid w:val="00FD7EE9"/>
    <w:rsid w:val="00FE3E87"/>
    <w:rsid w:val="00FF28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7FC620A-201E-48FC-A55B-4344313B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C9E"/>
    <w:pPr>
      <w:jc w:val="both"/>
    </w:pPr>
  </w:style>
  <w:style w:type="paragraph" w:styleId="Titre1">
    <w:name w:val="heading 1"/>
    <w:basedOn w:val="Normal"/>
    <w:next w:val="Normal"/>
    <w:link w:val="Titre1Car"/>
    <w:uiPriority w:val="9"/>
    <w:qFormat/>
    <w:rsid w:val="0074583B"/>
    <w:pPr>
      <w:keepNext/>
      <w:keepLines/>
      <w:spacing w:before="480" w:after="240"/>
      <w:outlineLvl w:val="0"/>
    </w:pPr>
    <w:rPr>
      <w:rFonts w:asciiTheme="majorHAnsi" w:eastAsiaTheme="majorEastAsia" w:hAnsiTheme="majorHAnsi" w:cstheme="majorBidi"/>
      <w:b/>
      <w:bCs/>
      <w:color w:val="5F497A" w:themeColor="accent4" w:themeShade="BF"/>
      <w:sz w:val="28"/>
      <w:szCs w:val="28"/>
    </w:rPr>
  </w:style>
  <w:style w:type="paragraph" w:styleId="Titre2">
    <w:name w:val="heading 2"/>
    <w:basedOn w:val="Normal"/>
    <w:next w:val="Normal"/>
    <w:link w:val="Titre2Car"/>
    <w:uiPriority w:val="9"/>
    <w:unhideWhenUsed/>
    <w:qFormat/>
    <w:rsid w:val="001A393E"/>
    <w:pPr>
      <w:keepNext/>
      <w:keepLines/>
      <w:spacing w:before="200" w:after="0"/>
      <w:outlineLvl w:val="1"/>
    </w:pPr>
    <w:rPr>
      <w:rFonts w:asciiTheme="majorHAnsi" w:eastAsiaTheme="majorEastAsia" w:hAnsiTheme="majorHAnsi" w:cstheme="majorBidi"/>
      <w:b/>
      <w:bCs/>
      <w:color w:val="365F91" w:themeColor="accent1" w:themeShade="BF"/>
      <w:sz w:val="24"/>
      <w:szCs w:val="26"/>
    </w:rPr>
  </w:style>
  <w:style w:type="paragraph" w:styleId="Titre3">
    <w:name w:val="heading 3"/>
    <w:basedOn w:val="Normal"/>
    <w:next w:val="Normal"/>
    <w:link w:val="Titre3Car"/>
    <w:uiPriority w:val="9"/>
    <w:unhideWhenUsed/>
    <w:qFormat/>
    <w:rsid w:val="005F41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20DB"/>
    <w:pPr>
      <w:ind w:left="720"/>
      <w:contextualSpacing/>
    </w:pPr>
  </w:style>
  <w:style w:type="paragraph" w:styleId="Notedebasdepage">
    <w:name w:val="footnote text"/>
    <w:basedOn w:val="Normal"/>
    <w:link w:val="NotedebasdepageCar"/>
    <w:uiPriority w:val="99"/>
    <w:unhideWhenUsed/>
    <w:rsid w:val="009C0CF6"/>
    <w:pPr>
      <w:spacing w:after="0" w:line="240" w:lineRule="auto"/>
    </w:pPr>
    <w:rPr>
      <w:sz w:val="20"/>
      <w:szCs w:val="20"/>
    </w:rPr>
  </w:style>
  <w:style w:type="character" w:customStyle="1" w:styleId="NotedebasdepageCar">
    <w:name w:val="Note de bas de page Car"/>
    <w:basedOn w:val="Policepardfaut"/>
    <w:link w:val="Notedebasdepage"/>
    <w:uiPriority w:val="99"/>
    <w:rsid w:val="009C0CF6"/>
    <w:rPr>
      <w:sz w:val="20"/>
      <w:szCs w:val="20"/>
    </w:rPr>
  </w:style>
  <w:style w:type="character" w:styleId="Appelnotedebasdep">
    <w:name w:val="footnote reference"/>
    <w:basedOn w:val="Policepardfaut"/>
    <w:uiPriority w:val="99"/>
    <w:semiHidden/>
    <w:unhideWhenUsed/>
    <w:rsid w:val="009C0CF6"/>
    <w:rPr>
      <w:vertAlign w:val="superscript"/>
    </w:rPr>
  </w:style>
  <w:style w:type="paragraph" w:styleId="Textedebulles">
    <w:name w:val="Balloon Text"/>
    <w:basedOn w:val="Normal"/>
    <w:link w:val="TextedebullesCar"/>
    <w:uiPriority w:val="99"/>
    <w:semiHidden/>
    <w:unhideWhenUsed/>
    <w:rsid w:val="00EE2D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2DB4"/>
    <w:rPr>
      <w:rFonts w:ascii="Tahoma" w:hAnsi="Tahoma" w:cs="Tahoma"/>
      <w:sz w:val="16"/>
      <w:szCs w:val="16"/>
    </w:rPr>
  </w:style>
  <w:style w:type="table" w:styleId="Grilledutableau">
    <w:name w:val="Table Grid"/>
    <w:basedOn w:val="TableauNormal"/>
    <w:uiPriority w:val="59"/>
    <w:rsid w:val="006C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C493E"/>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A6347D"/>
    <w:rPr>
      <w:color w:val="0000FF" w:themeColor="hyperlink"/>
      <w:u w:val="single"/>
    </w:rPr>
  </w:style>
  <w:style w:type="character" w:styleId="Lienhypertextesuivivisit">
    <w:name w:val="FollowedHyperlink"/>
    <w:basedOn w:val="Policepardfaut"/>
    <w:uiPriority w:val="99"/>
    <w:semiHidden/>
    <w:unhideWhenUsed/>
    <w:rsid w:val="00A6347D"/>
    <w:rPr>
      <w:color w:val="800080" w:themeColor="followedHyperlink"/>
      <w:u w:val="single"/>
    </w:rPr>
  </w:style>
  <w:style w:type="paragraph" w:styleId="En-tte">
    <w:name w:val="header"/>
    <w:basedOn w:val="Normal"/>
    <w:link w:val="En-tteCar"/>
    <w:uiPriority w:val="99"/>
    <w:unhideWhenUsed/>
    <w:rsid w:val="0069469E"/>
    <w:pPr>
      <w:tabs>
        <w:tab w:val="center" w:pos="4536"/>
        <w:tab w:val="right" w:pos="9072"/>
      </w:tabs>
      <w:spacing w:after="0" w:line="240" w:lineRule="auto"/>
    </w:pPr>
  </w:style>
  <w:style w:type="character" w:customStyle="1" w:styleId="En-tteCar">
    <w:name w:val="En-tête Car"/>
    <w:basedOn w:val="Policepardfaut"/>
    <w:link w:val="En-tte"/>
    <w:uiPriority w:val="99"/>
    <w:rsid w:val="0069469E"/>
  </w:style>
  <w:style w:type="paragraph" w:styleId="Pieddepage">
    <w:name w:val="footer"/>
    <w:basedOn w:val="Normal"/>
    <w:link w:val="PieddepageCar"/>
    <w:uiPriority w:val="99"/>
    <w:unhideWhenUsed/>
    <w:rsid w:val="006946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69E"/>
  </w:style>
  <w:style w:type="character" w:customStyle="1" w:styleId="Titre1Car">
    <w:name w:val="Titre 1 Car"/>
    <w:basedOn w:val="Policepardfaut"/>
    <w:link w:val="Titre1"/>
    <w:uiPriority w:val="9"/>
    <w:rsid w:val="0074583B"/>
    <w:rPr>
      <w:rFonts w:asciiTheme="majorHAnsi" w:eastAsiaTheme="majorEastAsia" w:hAnsiTheme="majorHAnsi" w:cstheme="majorBidi"/>
      <w:b/>
      <w:bCs/>
      <w:color w:val="5F497A" w:themeColor="accent4" w:themeShade="BF"/>
      <w:sz w:val="28"/>
      <w:szCs w:val="28"/>
    </w:rPr>
  </w:style>
  <w:style w:type="paragraph" w:styleId="En-ttedetabledesmatires">
    <w:name w:val="TOC Heading"/>
    <w:basedOn w:val="Titre1"/>
    <w:next w:val="Normal"/>
    <w:uiPriority w:val="39"/>
    <w:unhideWhenUsed/>
    <w:qFormat/>
    <w:rsid w:val="002F3D6F"/>
    <w:pPr>
      <w:spacing w:after="0"/>
      <w:outlineLvl w:val="9"/>
    </w:pPr>
    <w:rPr>
      <w:lang w:eastAsia="fr-FR"/>
    </w:rPr>
  </w:style>
  <w:style w:type="paragraph" w:styleId="TM1">
    <w:name w:val="toc 1"/>
    <w:basedOn w:val="Normal"/>
    <w:next w:val="Normal"/>
    <w:autoRedefine/>
    <w:uiPriority w:val="39"/>
    <w:unhideWhenUsed/>
    <w:qFormat/>
    <w:rsid w:val="002F3D6F"/>
    <w:pPr>
      <w:spacing w:before="120" w:after="120"/>
      <w:jc w:val="left"/>
    </w:pPr>
    <w:rPr>
      <w:rFonts w:cstheme="minorHAnsi"/>
      <w:b/>
      <w:bCs/>
      <w:caps/>
      <w:sz w:val="20"/>
      <w:szCs w:val="20"/>
    </w:rPr>
  </w:style>
  <w:style w:type="character" w:customStyle="1" w:styleId="Titre2Car">
    <w:name w:val="Titre 2 Car"/>
    <w:basedOn w:val="Policepardfaut"/>
    <w:link w:val="Titre2"/>
    <w:uiPriority w:val="9"/>
    <w:rsid w:val="001A393E"/>
    <w:rPr>
      <w:rFonts w:asciiTheme="majorHAnsi" w:eastAsiaTheme="majorEastAsia" w:hAnsiTheme="majorHAnsi" w:cstheme="majorBidi"/>
      <w:b/>
      <w:bCs/>
      <w:color w:val="365F91" w:themeColor="accent1" w:themeShade="BF"/>
      <w:sz w:val="24"/>
      <w:szCs w:val="26"/>
    </w:rPr>
  </w:style>
  <w:style w:type="paragraph" w:styleId="TM2">
    <w:name w:val="toc 2"/>
    <w:basedOn w:val="Normal"/>
    <w:next w:val="Normal"/>
    <w:autoRedefine/>
    <w:uiPriority w:val="39"/>
    <w:unhideWhenUsed/>
    <w:qFormat/>
    <w:rsid w:val="00850D7C"/>
    <w:pPr>
      <w:spacing w:after="0"/>
      <w:ind w:left="220"/>
      <w:jc w:val="left"/>
    </w:pPr>
    <w:rPr>
      <w:rFonts w:cstheme="minorHAnsi"/>
      <w:smallCaps/>
      <w:sz w:val="20"/>
      <w:szCs w:val="20"/>
    </w:rPr>
  </w:style>
  <w:style w:type="paragraph" w:styleId="Sansinterligne">
    <w:name w:val="No Spacing"/>
    <w:uiPriority w:val="1"/>
    <w:qFormat/>
    <w:rsid w:val="00967A1F"/>
    <w:pPr>
      <w:spacing w:after="0" w:line="240" w:lineRule="auto"/>
      <w:jc w:val="both"/>
    </w:pPr>
  </w:style>
  <w:style w:type="character" w:customStyle="1" w:styleId="Titre3Car">
    <w:name w:val="Titre 3 Car"/>
    <w:basedOn w:val="Policepardfaut"/>
    <w:link w:val="Titre3"/>
    <w:uiPriority w:val="9"/>
    <w:rsid w:val="005F4120"/>
    <w:rPr>
      <w:rFonts w:asciiTheme="majorHAnsi" w:eastAsiaTheme="majorEastAsia" w:hAnsiTheme="majorHAnsi" w:cstheme="majorBidi"/>
      <w:b/>
      <w:bCs/>
      <w:color w:val="4F81BD" w:themeColor="accent1"/>
    </w:rPr>
  </w:style>
  <w:style w:type="paragraph" w:styleId="TM3">
    <w:name w:val="toc 3"/>
    <w:basedOn w:val="Normal"/>
    <w:next w:val="Normal"/>
    <w:autoRedefine/>
    <w:uiPriority w:val="39"/>
    <w:unhideWhenUsed/>
    <w:qFormat/>
    <w:rsid w:val="00E02FDB"/>
    <w:pPr>
      <w:spacing w:after="0"/>
      <w:ind w:left="440"/>
      <w:jc w:val="left"/>
    </w:pPr>
    <w:rPr>
      <w:rFonts w:cstheme="minorHAnsi"/>
      <w:i/>
      <w:iCs/>
      <w:sz w:val="20"/>
      <w:szCs w:val="20"/>
    </w:rPr>
  </w:style>
  <w:style w:type="paragraph" w:styleId="TM4">
    <w:name w:val="toc 4"/>
    <w:basedOn w:val="Normal"/>
    <w:next w:val="Normal"/>
    <w:autoRedefine/>
    <w:uiPriority w:val="39"/>
    <w:unhideWhenUsed/>
    <w:rsid w:val="00E02FDB"/>
    <w:pPr>
      <w:spacing w:after="0"/>
      <w:ind w:left="660"/>
      <w:jc w:val="left"/>
    </w:pPr>
    <w:rPr>
      <w:rFonts w:cstheme="minorHAnsi"/>
      <w:sz w:val="18"/>
      <w:szCs w:val="18"/>
    </w:rPr>
  </w:style>
  <w:style w:type="paragraph" w:styleId="TM5">
    <w:name w:val="toc 5"/>
    <w:basedOn w:val="Normal"/>
    <w:next w:val="Normal"/>
    <w:autoRedefine/>
    <w:uiPriority w:val="39"/>
    <w:unhideWhenUsed/>
    <w:rsid w:val="00E02FDB"/>
    <w:pPr>
      <w:spacing w:after="0"/>
      <w:ind w:left="880"/>
      <w:jc w:val="left"/>
    </w:pPr>
    <w:rPr>
      <w:rFonts w:cstheme="minorHAnsi"/>
      <w:sz w:val="18"/>
      <w:szCs w:val="18"/>
    </w:rPr>
  </w:style>
  <w:style w:type="paragraph" w:styleId="TM6">
    <w:name w:val="toc 6"/>
    <w:basedOn w:val="Normal"/>
    <w:next w:val="Normal"/>
    <w:autoRedefine/>
    <w:uiPriority w:val="39"/>
    <w:unhideWhenUsed/>
    <w:rsid w:val="00E02FDB"/>
    <w:pPr>
      <w:spacing w:after="0"/>
      <w:ind w:left="1100"/>
      <w:jc w:val="left"/>
    </w:pPr>
    <w:rPr>
      <w:rFonts w:cstheme="minorHAnsi"/>
      <w:sz w:val="18"/>
      <w:szCs w:val="18"/>
    </w:rPr>
  </w:style>
  <w:style w:type="paragraph" w:styleId="TM7">
    <w:name w:val="toc 7"/>
    <w:basedOn w:val="Normal"/>
    <w:next w:val="Normal"/>
    <w:autoRedefine/>
    <w:uiPriority w:val="39"/>
    <w:unhideWhenUsed/>
    <w:rsid w:val="00E02FDB"/>
    <w:pPr>
      <w:spacing w:after="0"/>
      <w:ind w:left="1320"/>
      <w:jc w:val="left"/>
    </w:pPr>
    <w:rPr>
      <w:rFonts w:cstheme="minorHAnsi"/>
      <w:sz w:val="18"/>
      <w:szCs w:val="18"/>
    </w:rPr>
  </w:style>
  <w:style w:type="paragraph" w:styleId="TM8">
    <w:name w:val="toc 8"/>
    <w:basedOn w:val="Normal"/>
    <w:next w:val="Normal"/>
    <w:autoRedefine/>
    <w:uiPriority w:val="39"/>
    <w:unhideWhenUsed/>
    <w:rsid w:val="00E02FDB"/>
    <w:pPr>
      <w:spacing w:after="0"/>
      <w:ind w:left="1540"/>
      <w:jc w:val="left"/>
    </w:pPr>
    <w:rPr>
      <w:rFonts w:cstheme="minorHAnsi"/>
      <w:sz w:val="18"/>
      <w:szCs w:val="18"/>
    </w:rPr>
  </w:style>
  <w:style w:type="paragraph" w:styleId="TM9">
    <w:name w:val="toc 9"/>
    <w:basedOn w:val="Normal"/>
    <w:next w:val="Normal"/>
    <w:autoRedefine/>
    <w:uiPriority w:val="39"/>
    <w:unhideWhenUsed/>
    <w:rsid w:val="00E02FDB"/>
    <w:pPr>
      <w:spacing w:after="0"/>
      <w:ind w:left="1760"/>
      <w:jc w:val="left"/>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467369">
      <w:bodyDiv w:val="1"/>
      <w:marLeft w:val="0"/>
      <w:marRight w:val="0"/>
      <w:marTop w:val="0"/>
      <w:marBottom w:val="0"/>
      <w:divBdr>
        <w:top w:val="none" w:sz="0" w:space="0" w:color="auto"/>
        <w:left w:val="none" w:sz="0" w:space="0" w:color="auto"/>
        <w:bottom w:val="none" w:sz="0" w:space="0" w:color="auto"/>
        <w:right w:val="none" w:sz="0" w:space="0" w:color="auto"/>
      </w:divBdr>
    </w:div>
    <w:div w:id="12213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package" Target="embeddings/Feuille_de_calcul_Microsoft_Excel3.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Diapositive_Microsoft_PowerPoint2.sldx"/><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package" Target="embeddings/Feuille_de_calcul_Microsoft_Excel1.xls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19B4C-C719-4205-BAE0-FBE418A6F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50</Pages>
  <Words>15862</Words>
  <Characters>87242</Characters>
  <Application>Microsoft Office Word</Application>
  <DocSecurity>0</DocSecurity>
  <Lines>727</Lines>
  <Paragraphs>205</Paragraphs>
  <ScaleCrop>false</ScaleCrop>
  <HeadingPairs>
    <vt:vector size="2" baseType="variant">
      <vt:variant>
        <vt:lpstr>Titre</vt:lpstr>
      </vt:variant>
      <vt:variant>
        <vt:i4>1</vt:i4>
      </vt:variant>
    </vt:vector>
  </HeadingPairs>
  <TitlesOfParts>
    <vt:vector size="1" baseType="lpstr">
      <vt:lpstr/>
    </vt:vector>
  </TitlesOfParts>
  <Company>Mairie De Sotteville-Lès-Rouen</Company>
  <LinksUpToDate>false</LinksUpToDate>
  <CharactersWithSpaces>102899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BEHENGARAY Aurélien</dc:creator>
  <cp:lastModifiedBy>BEHENGARAY Aurélien</cp:lastModifiedBy>
  <cp:revision>10</cp:revision>
  <cp:lastPrinted>2023-09-26T07:21:00Z</cp:lastPrinted>
  <dcterms:created xsi:type="dcterms:W3CDTF">2026-03-29T17:20:00Z</dcterms:created>
  <dcterms:modified xsi:type="dcterms:W3CDTF">2026-03-30T15:47:00Z</dcterms:modified>
</cp:coreProperties>
</file>