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A36" w:rsidRDefault="00AE1A36" w:rsidP="00925F4C"/>
    <w:p w:rsidR="00AE1A36" w:rsidRPr="00902F45" w:rsidRDefault="00AE1A36" w:rsidP="00016E31">
      <w:pPr>
        <w:jc w:val="center"/>
      </w:pPr>
    </w:p>
    <w:p w:rsidR="00EC7EDD" w:rsidRPr="00902F45" w:rsidRDefault="00EC7EDD" w:rsidP="00925F4C"/>
    <w:p w:rsidR="00EC7EDD" w:rsidRPr="00902F45" w:rsidRDefault="008E40AD" w:rsidP="008E40AD">
      <w:pPr>
        <w:jc w:val="center"/>
      </w:pPr>
      <w:r>
        <w:rPr>
          <w:noProof/>
        </w:rPr>
        <w:drawing>
          <wp:inline distT="0" distB="0" distL="0" distR="0">
            <wp:extent cx="4163568" cy="2971800"/>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otteville ROSE 2025 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63568" cy="2971800"/>
                    </a:xfrm>
                    <a:prstGeom prst="rect">
                      <a:avLst/>
                    </a:prstGeom>
                  </pic:spPr>
                </pic:pic>
              </a:graphicData>
            </a:graphic>
          </wp:inline>
        </w:drawing>
      </w:r>
    </w:p>
    <w:p w:rsidR="00EC7EDD" w:rsidRPr="00902F45" w:rsidRDefault="00EC7EDD" w:rsidP="00925F4C"/>
    <w:p w:rsidR="00EC7EDD" w:rsidRPr="00902F45" w:rsidRDefault="00EC7EDD" w:rsidP="00925F4C"/>
    <w:p w:rsidR="00EC7EDD" w:rsidRPr="00902F45" w:rsidRDefault="00EC7EDD" w:rsidP="00925F4C"/>
    <w:p w:rsidR="007949BB" w:rsidRPr="00902F45" w:rsidRDefault="007949BB" w:rsidP="00925F4C"/>
    <w:p w:rsidR="00AE1A36" w:rsidRPr="00016E31" w:rsidRDefault="00AE1A36" w:rsidP="00016E31">
      <w:pPr>
        <w:jc w:val="center"/>
        <w:rPr>
          <w:rStyle w:val="Accentuation"/>
          <w:i w:val="0"/>
          <w:sz w:val="56"/>
          <w:szCs w:val="56"/>
        </w:rPr>
      </w:pPr>
      <w:r w:rsidRPr="00016E31">
        <w:rPr>
          <w:rStyle w:val="Accentuation"/>
          <w:i w:val="0"/>
          <w:sz w:val="56"/>
          <w:szCs w:val="56"/>
        </w:rPr>
        <w:t xml:space="preserve">RAPPORT SUR LE </w:t>
      </w:r>
      <w:r w:rsidR="00D47062" w:rsidRPr="00016E31">
        <w:rPr>
          <w:rStyle w:val="Accentuation"/>
          <w:i w:val="0"/>
          <w:sz w:val="56"/>
          <w:szCs w:val="56"/>
        </w:rPr>
        <w:t>BUDGET PRIMITIF</w:t>
      </w:r>
      <w:r w:rsidR="00EC7EDD" w:rsidRPr="00016E31">
        <w:rPr>
          <w:rStyle w:val="Accentuation"/>
          <w:i w:val="0"/>
          <w:sz w:val="56"/>
          <w:szCs w:val="56"/>
        </w:rPr>
        <w:br/>
      </w:r>
      <w:r w:rsidR="00D51549" w:rsidRPr="00016E31">
        <w:rPr>
          <w:rStyle w:val="Accentuation"/>
          <w:i w:val="0"/>
          <w:sz w:val="56"/>
          <w:szCs w:val="56"/>
        </w:rPr>
        <w:t xml:space="preserve">EXERCICE </w:t>
      </w:r>
      <w:r w:rsidR="005F449E" w:rsidRPr="00016E31">
        <w:rPr>
          <w:rStyle w:val="Accentuation"/>
          <w:i w:val="0"/>
          <w:sz w:val="56"/>
          <w:szCs w:val="56"/>
        </w:rPr>
        <w:t>202</w:t>
      </w:r>
      <w:r w:rsidR="007227F7">
        <w:rPr>
          <w:rStyle w:val="Accentuation"/>
          <w:i w:val="0"/>
          <w:sz w:val="56"/>
          <w:szCs w:val="56"/>
        </w:rPr>
        <w:t>6</w:t>
      </w:r>
    </w:p>
    <w:p w:rsidR="00AE1A36" w:rsidRPr="00902F45" w:rsidRDefault="00AE1A36" w:rsidP="00925F4C"/>
    <w:p w:rsidR="0041321E" w:rsidRPr="00902F45" w:rsidRDefault="0041321E" w:rsidP="00925F4C">
      <w:pPr>
        <w:sectPr w:rsidR="0041321E" w:rsidRPr="00902F45" w:rsidSect="00645203">
          <w:headerReference w:type="even" r:id="rId9"/>
          <w:footerReference w:type="even" r:id="rId10"/>
          <w:footerReference w:type="default" r:id="rId11"/>
          <w:pgSz w:w="11907" w:h="16840" w:code="9"/>
          <w:pgMar w:top="1134" w:right="851" w:bottom="1134" w:left="851" w:header="720" w:footer="720" w:gutter="0"/>
          <w:pgNumType w:start="1"/>
          <w:cols w:space="720"/>
          <w:titlePg/>
        </w:sectPr>
      </w:pPr>
    </w:p>
    <w:p w:rsidR="00344E7C" w:rsidRPr="00042A90" w:rsidRDefault="00CC5263" w:rsidP="00003E99">
      <w:pPr>
        <w:pStyle w:val="En-ttedetabledesmatires"/>
      </w:pPr>
      <w:r w:rsidRPr="00042A90">
        <w:lastRenderedPageBreak/>
        <w:t>Table des matières</w:t>
      </w:r>
    </w:p>
    <w:p w:rsidR="00042A90" w:rsidRDefault="00CC5263">
      <w:pPr>
        <w:pStyle w:val="TM1"/>
        <w:rPr>
          <w:rFonts w:asciiTheme="minorHAnsi" w:eastAsiaTheme="minorEastAsia" w:hAnsiTheme="minorHAnsi" w:cstheme="minorBidi"/>
          <w:szCs w:val="22"/>
        </w:rPr>
      </w:pPr>
      <w:r w:rsidRPr="007227F7">
        <w:rPr>
          <w:sz w:val="20"/>
          <w:highlight w:val="yellow"/>
        </w:rPr>
        <w:fldChar w:fldCharType="begin"/>
      </w:r>
      <w:r w:rsidRPr="007227F7">
        <w:rPr>
          <w:sz w:val="20"/>
          <w:highlight w:val="yellow"/>
        </w:rPr>
        <w:instrText xml:space="preserve"> TOC \o "1-3" \h \z \u </w:instrText>
      </w:r>
      <w:r w:rsidRPr="007227F7">
        <w:rPr>
          <w:sz w:val="20"/>
          <w:highlight w:val="yellow"/>
        </w:rPr>
        <w:fldChar w:fldCharType="separate"/>
      </w:r>
      <w:hyperlink w:anchor="_Toc224574159" w:history="1">
        <w:r w:rsidR="00042A90" w:rsidRPr="009F0B0A">
          <w:rPr>
            <w:rStyle w:val="Lienhypertexte"/>
          </w:rPr>
          <w:t>PRESENTATION SYNTHETIQUE</w:t>
        </w:r>
        <w:r w:rsidR="00042A90">
          <w:rPr>
            <w:webHidden/>
          </w:rPr>
          <w:tab/>
        </w:r>
        <w:r w:rsidR="00042A90">
          <w:rPr>
            <w:webHidden/>
          </w:rPr>
          <w:fldChar w:fldCharType="begin"/>
        </w:r>
        <w:r w:rsidR="00042A90">
          <w:rPr>
            <w:webHidden/>
          </w:rPr>
          <w:instrText xml:space="preserve"> PAGEREF _Toc224574159 \h </w:instrText>
        </w:r>
        <w:r w:rsidR="00042A90">
          <w:rPr>
            <w:webHidden/>
          </w:rPr>
        </w:r>
        <w:r w:rsidR="00042A90">
          <w:rPr>
            <w:webHidden/>
          </w:rPr>
          <w:fldChar w:fldCharType="separate"/>
        </w:r>
        <w:r w:rsidR="00042A90">
          <w:rPr>
            <w:webHidden/>
          </w:rPr>
          <w:t>3</w:t>
        </w:r>
        <w:r w:rsidR="00042A90">
          <w:rPr>
            <w:webHidden/>
          </w:rPr>
          <w:fldChar w:fldCharType="end"/>
        </w:r>
      </w:hyperlink>
    </w:p>
    <w:p w:rsidR="00042A90" w:rsidRDefault="00CD1E29">
      <w:pPr>
        <w:pStyle w:val="TM1"/>
        <w:rPr>
          <w:rFonts w:asciiTheme="minorHAnsi" w:eastAsiaTheme="minorEastAsia" w:hAnsiTheme="minorHAnsi" w:cstheme="minorBidi"/>
          <w:szCs w:val="22"/>
        </w:rPr>
      </w:pPr>
      <w:hyperlink w:anchor="_Toc224574160" w:history="1">
        <w:r w:rsidR="00042A90" w:rsidRPr="009F0B0A">
          <w:rPr>
            <w:rStyle w:val="Lienhypertexte"/>
          </w:rPr>
          <w:t>SECTION DE FONCTIONNEMENT</w:t>
        </w:r>
        <w:r w:rsidR="00042A90">
          <w:rPr>
            <w:webHidden/>
          </w:rPr>
          <w:tab/>
        </w:r>
        <w:r w:rsidR="00042A90">
          <w:rPr>
            <w:webHidden/>
          </w:rPr>
          <w:fldChar w:fldCharType="begin"/>
        </w:r>
        <w:r w:rsidR="00042A90">
          <w:rPr>
            <w:webHidden/>
          </w:rPr>
          <w:instrText xml:space="preserve"> PAGEREF _Toc224574160 \h </w:instrText>
        </w:r>
        <w:r w:rsidR="00042A90">
          <w:rPr>
            <w:webHidden/>
          </w:rPr>
        </w:r>
        <w:r w:rsidR="00042A90">
          <w:rPr>
            <w:webHidden/>
          </w:rPr>
          <w:fldChar w:fldCharType="separate"/>
        </w:r>
        <w:r w:rsidR="00042A90">
          <w:rPr>
            <w:webHidden/>
          </w:rPr>
          <w:t>4</w:t>
        </w:r>
        <w:r w:rsidR="00042A90">
          <w:rPr>
            <w:webHidden/>
          </w:rPr>
          <w:fldChar w:fldCharType="end"/>
        </w:r>
      </w:hyperlink>
    </w:p>
    <w:p w:rsidR="00042A90" w:rsidRDefault="00CD1E29">
      <w:pPr>
        <w:pStyle w:val="TM1"/>
        <w:rPr>
          <w:rFonts w:asciiTheme="minorHAnsi" w:eastAsiaTheme="minorEastAsia" w:hAnsiTheme="minorHAnsi" w:cstheme="minorBidi"/>
          <w:szCs w:val="22"/>
        </w:rPr>
      </w:pPr>
      <w:hyperlink w:anchor="_Toc224574161" w:history="1">
        <w:r w:rsidR="00042A90" w:rsidRPr="009F0B0A">
          <w:rPr>
            <w:rStyle w:val="Lienhypertexte"/>
          </w:rPr>
          <w:t>LES RECETTES DE FONCTIONNEMENT</w:t>
        </w:r>
        <w:r w:rsidR="00042A90">
          <w:rPr>
            <w:webHidden/>
          </w:rPr>
          <w:tab/>
        </w:r>
        <w:r w:rsidR="00042A90">
          <w:rPr>
            <w:webHidden/>
          </w:rPr>
          <w:fldChar w:fldCharType="begin"/>
        </w:r>
        <w:r w:rsidR="00042A90">
          <w:rPr>
            <w:webHidden/>
          </w:rPr>
          <w:instrText xml:space="preserve"> PAGEREF _Toc224574161 \h </w:instrText>
        </w:r>
        <w:r w:rsidR="00042A90">
          <w:rPr>
            <w:webHidden/>
          </w:rPr>
        </w:r>
        <w:r w:rsidR="00042A90">
          <w:rPr>
            <w:webHidden/>
          </w:rPr>
          <w:fldChar w:fldCharType="separate"/>
        </w:r>
        <w:r w:rsidR="00042A90">
          <w:rPr>
            <w:webHidden/>
          </w:rPr>
          <w:t>4</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62" w:history="1">
        <w:r w:rsidR="00042A90" w:rsidRPr="009F0B0A">
          <w:rPr>
            <w:rStyle w:val="Lienhypertexte"/>
          </w:rPr>
          <w:t>Les atténuations de charges – Chapitre 013 : 440 000,00€</w:t>
        </w:r>
        <w:r w:rsidR="00042A90">
          <w:rPr>
            <w:webHidden/>
          </w:rPr>
          <w:tab/>
        </w:r>
        <w:r w:rsidR="00042A90">
          <w:rPr>
            <w:webHidden/>
          </w:rPr>
          <w:fldChar w:fldCharType="begin"/>
        </w:r>
        <w:r w:rsidR="00042A90">
          <w:rPr>
            <w:webHidden/>
          </w:rPr>
          <w:instrText xml:space="preserve"> PAGEREF _Toc224574162 \h </w:instrText>
        </w:r>
        <w:r w:rsidR="00042A90">
          <w:rPr>
            <w:webHidden/>
          </w:rPr>
        </w:r>
        <w:r w:rsidR="00042A90">
          <w:rPr>
            <w:webHidden/>
          </w:rPr>
          <w:fldChar w:fldCharType="separate"/>
        </w:r>
        <w:r w:rsidR="00042A90">
          <w:rPr>
            <w:webHidden/>
          </w:rPr>
          <w:t>4</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63" w:history="1">
        <w:r w:rsidR="00042A90" w:rsidRPr="009F0B0A">
          <w:rPr>
            <w:rStyle w:val="Lienhypertexte"/>
          </w:rPr>
          <w:t>Les produits des services, du domaine, et ventes diverses– Chapitre 70 : 2 284 487,00 €</w:t>
        </w:r>
        <w:r w:rsidR="00042A90">
          <w:rPr>
            <w:webHidden/>
          </w:rPr>
          <w:tab/>
        </w:r>
        <w:r w:rsidR="00042A90">
          <w:rPr>
            <w:webHidden/>
          </w:rPr>
          <w:fldChar w:fldCharType="begin"/>
        </w:r>
        <w:r w:rsidR="00042A90">
          <w:rPr>
            <w:webHidden/>
          </w:rPr>
          <w:instrText xml:space="preserve"> PAGEREF _Toc224574163 \h </w:instrText>
        </w:r>
        <w:r w:rsidR="00042A90">
          <w:rPr>
            <w:webHidden/>
          </w:rPr>
        </w:r>
        <w:r w:rsidR="00042A90">
          <w:rPr>
            <w:webHidden/>
          </w:rPr>
          <w:fldChar w:fldCharType="separate"/>
        </w:r>
        <w:r w:rsidR="00042A90">
          <w:rPr>
            <w:webHidden/>
          </w:rPr>
          <w:t>4</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64" w:history="1">
        <w:r w:rsidR="00042A90" w:rsidRPr="009F0B0A">
          <w:rPr>
            <w:rStyle w:val="Lienhypertexte"/>
          </w:rPr>
          <w:t>Les impôts et taxes– Chapitre 73 : 6 681 414,00 €</w:t>
        </w:r>
        <w:r w:rsidR="00042A90">
          <w:rPr>
            <w:webHidden/>
          </w:rPr>
          <w:tab/>
        </w:r>
        <w:r w:rsidR="00042A90">
          <w:rPr>
            <w:webHidden/>
          </w:rPr>
          <w:fldChar w:fldCharType="begin"/>
        </w:r>
        <w:r w:rsidR="00042A90">
          <w:rPr>
            <w:webHidden/>
          </w:rPr>
          <w:instrText xml:space="preserve"> PAGEREF _Toc224574164 \h </w:instrText>
        </w:r>
        <w:r w:rsidR="00042A90">
          <w:rPr>
            <w:webHidden/>
          </w:rPr>
        </w:r>
        <w:r w:rsidR="00042A90">
          <w:rPr>
            <w:webHidden/>
          </w:rPr>
          <w:fldChar w:fldCharType="separate"/>
        </w:r>
        <w:r w:rsidR="00042A90">
          <w:rPr>
            <w:webHidden/>
          </w:rPr>
          <w:t>4</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65" w:history="1">
        <w:r w:rsidR="00042A90" w:rsidRPr="009F0B0A">
          <w:rPr>
            <w:rStyle w:val="Lienhypertexte"/>
          </w:rPr>
          <w:t>Fiscalité locale – Chapitre 731 : 21 394 080,00 €</w:t>
        </w:r>
        <w:r w:rsidR="00042A90">
          <w:rPr>
            <w:webHidden/>
          </w:rPr>
          <w:tab/>
        </w:r>
        <w:r w:rsidR="00042A90">
          <w:rPr>
            <w:webHidden/>
          </w:rPr>
          <w:fldChar w:fldCharType="begin"/>
        </w:r>
        <w:r w:rsidR="00042A90">
          <w:rPr>
            <w:webHidden/>
          </w:rPr>
          <w:instrText xml:space="preserve"> PAGEREF _Toc224574165 \h </w:instrText>
        </w:r>
        <w:r w:rsidR="00042A90">
          <w:rPr>
            <w:webHidden/>
          </w:rPr>
        </w:r>
        <w:r w:rsidR="00042A90">
          <w:rPr>
            <w:webHidden/>
          </w:rPr>
          <w:fldChar w:fldCharType="separate"/>
        </w:r>
        <w:r w:rsidR="00042A90">
          <w:rPr>
            <w:webHidden/>
          </w:rPr>
          <w:t>4</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66" w:history="1">
        <w:r w:rsidR="00042A90" w:rsidRPr="009F0B0A">
          <w:rPr>
            <w:rStyle w:val="Lienhypertexte"/>
          </w:rPr>
          <w:t>Les dotations &amp; participations– Chapitre 74 : 9 922 010,00 €</w:t>
        </w:r>
        <w:r w:rsidR="00042A90">
          <w:rPr>
            <w:webHidden/>
          </w:rPr>
          <w:tab/>
        </w:r>
        <w:r w:rsidR="00042A90">
          <w:rPr>
            <w:webHidden/>
          </w:rPr>
          <w:fldChar w:fldCharType="begin"/>
        </w:r>
        <w:r w:rsidR="00042A90">
          <w:rPr>
            <w:webHidden/>
          </w:rPr>
          <w:instrText xml:space="preserve"> PAGEREF _Toc224574166 \h </w:instrText>
        </w:r>
        <w:r w:rsidR="00042A90">
          <w:rPr>
            <w:webHidden/>
          </w:rPr>
        </w:r>
        <w:r w:rsidR="00042A90">
          <w:rPr>
            <w:webHidden/>
          </w:rPr>
          <w:fldChar w:fldCharType="separate"/>
        </w:r>
        <w:r w:rsidR="00042A90">
          <w:rPr>
            <w:webHidden/>
          </w:rPr>
          <w:t>5</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67" w:history="1">
        <w:r w:rsidR="00042A90" w:rsidRPr="009F0B0A">
          <w:rPr>
            <w:rStyle w:val="Lienhypertexte"/>
          </w:rPr>
          <w:t>Les autres produits de gestion courante– Chapitre 75 : 64 400€</w:t>
        </w:r>
        <w:r w:rsidR="00042A90">
          <w:rPr>
            <w:webHidden/>
          </w:rPr>
          <w:tab/>
        </w:r>
        <w:r w:rsidR="00042A90">
          <w:rPr>
            <w:webHidden/>
          </w:rPr>
          <w:fldChar w:fldCharType="begin"/>
        </w:r>
        <w:r w:rsidR="00042A90">
          <w:rPr>
            <w:webHidden/>
          </w:rPr>
          <w:instrText xml:space="preserve"> PAGEREF _Toc224574167 \h </w:instrText>
        </w:r>
        <w:r w:rsidR="00042A90">
          <w:rPr>
            <w:webHidden/>
          </w:rPr>
        </w:r>
        <w:r w:rsidR="00042A90">
          <w:rPr>
            <w:webHidden/>
          </w:rPr>
          <w:fldChar w:fldCharType="separate"/>
        </w:r>
        <w:r w:rsidR="00042A90">
          <w:rPr>
            <w:webHidden/>
          </w:rPr>
          <w:t>6</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68" w:history="1">
        <w:r w:rsidR="00042A90" w:rsidRPr="009F0B0A">
          <w:rPr>
            <w:rStyle w:val="Lienhypertexte"/>
          </w:rPr>
          <w:t>Les produits financiers – Chapitre 76 : 7 901,00€</w:t>
        </w:r>
        <w:r w:rsidR="00042A90">
          <w:rPr>
            <w:webHidden/>
          </w:rPr>
          <w:tab/>
        </w:r>
        <w:r w:rsidR="00042A90">
          <w:rPr>
            <w:webHidden/>
          </w:rPr>
          <w:fldChar w:fldCharType="begin"/>
        </w:r>
        <w:r w:rsidR="00042A90">
          <w:rPr>
            <w:webHidden/>
          </w:rPr>
          <w:instrText xml:space="preserve"> PAGEREF _Toc224574168 \h </w:instrText>
        </w:r>
        <w:r w:rsidR="00042A90">
          <w:rPr>
            <w:webHidden/>
          </w:rPr>
        </w:r>
        <w:r w:rsidR="00042A90">
          <w:rPr>
            <w:webHidden/>
          </w:rPr>
          <w:fldChar w:fldCharType="separate"/>
        </w:r>
        <w:r w:rsidR="00042A90">
          <w:rPr>
            <w:webHidden/>
          </w:rPr>
          <w:t>6</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69" w:history="1">
        <w:r w:rsidR="00042A90" w:rsidRPr="009F0B0A">
          <w:rPr>
            <w:rStyle w:val="Lienhypertexte"/>
          </w:rPr>
          <w:t>Les produits exceptionnels – Chapitre 77 : 210 000,00€</w:t>
        </w:r>
        <w:r w:rsidR="00042A90">
          <w:rPr>
            <w:webHidden/>
          </w:rPr>
          <w:tab/>
        </w:r>
        <w:r w:rsidR="00042A90">
          <w:rPr>
            <w:webHidden/>
          </w:rPr>
          <w:fldChar w:fldCharType="begin"/>
        </w:r>
        <w:r w:rsidR="00042A90">
          <w:rPr>
            <w:webHidden/>
          </w:rPr>
          <w:instrText xml:space="preserve"> PAGEREF _Toc224574169 \h </w:instrText>
        </w:r>
        <w:r w:rsidR="00042A90">
          <w:rPr>
            <w:webHidden/>
          </w:rPr>
        </w:r>
        <w:r w:rsidR="00042A90">
          <w:rPr>
            <w:webHidden/>
          </w:rPr>
          <w:fldChar w:fldCharType="separate"/>
        </w:r>
        <w:r w:rsidR="00042A90">
          <w:rPr>
            <w:webHidden/>
          </w:rPr>
          <w:t>6</w:t>
        </w:r>
        <w:r w:rsidR="00042A90">
          <w:rPr>
            <w:webHidden/>
          </w:rPr>
          <w:fldChar w:fldCharType="end"/>
        </w:r>
      </w:hyperlink>
    </w:p>
    <w:p w:rsidR="00042A90" w:rsidRDefault="00CD1E29">
      <w:pPr>
        <w:pStyle w:val="TM1"/>
        <w:rPr>
          <w:rFonts w:asciiTheme="minorHAnsi" w:eastAsiaTheme="minorEastAsia" w:hAnsiTheme="minorHAnsi" w:cstheme="minorBidi"/>
          <w:szCs w:val="22"/>
        </w:rPr>
      </w:pPr>
      <w:hyperlink w:anchor="_Toc224574170" w:history="1">
        <w:r w:rsidR="00042A90" w:rsidRPr="009F0B0A">
          <w:rPr>
            <w:rStyle w:val="Lienhypertexte"/>
          </w:rPr>
          <w:t>Résultat de fonctionnement antérieur reporté – Chapitre 002 :  8 579 337,05 €</w:t>
        </w:r>
        <w:r w:rsidR="00042A90">
          <w:rPr>
            <w:webHidden/>
          </w:rPr>
          <w:tab/>
        </w:r>
        <w:r w:rsidR="00042A90">
          <w:rPr>
            <w:webHidden/>
          </w:rPr>
          <w:fldChar w:fldCharType="begin"/>
        </w:r>
        <w:r w:rsidR="00042A90">
          <w:rPr>
            <w:webHidden/>
          </w:rPr>
          <w:instrText xml:space="preserve"> PAGEREF _Toc224574170 \h </w:instrText>
        </w:r>
        <w:r w:rsidR="00042A90">
          <w:rPr>
            <w:webHidden/>
          </w:rPr>
        </w:r>
        <w:r w:rsidR="00042A90">
          <w:rPr>
            <w:webHidden/>
          </w:rPr>
          <w:fldChar w:fldCharType="separate"/>
        </w:r>
        <w:r w:rsidR="00042A90">
          <w:rPr>
            <w:webHidden/>
          </w:rPr>
          <w:t>6</w:t>
        </w:r>
        <w:r w:rsidR="00042A90">
          <w:rPr>
            <w:webHidden/>
          </w:rPr>
          <w:fldChar w:fldCharType="end"/>
        </w:r>
      </w:hyperlink>
    </w:p>
    <w:p w:rsidR="00042A90" w:rsidRDefault="00CD1E29">
      <w:pPr>
        <w:pStyle w:val="TM1"/>
        <w:rPr>
          <w:rFonts w:asciiTheme="minorHAnsi" w:eastAsiaTheme="minorEastAsia" w:hAnsiTheme="minorHAnsi" w:cstheme="minorBidi"/>
          <w:szCs w:val="22"/>
        </w:rPr>
      </w:pPr>
      <w:hyperlink w:anchor="_Toc224574171" w:history="1">
        <w:r w:rsidR="00042A90" w:rsidRPr="009F0B0A">
          <w:rPr>
            <w:rStyle w:val="Lienhypertexte"/>
          </w:rPr>
          <w:t>LES DEPENSES DE FONCTIONNEMENT</w:t>
        </w:r>
        <w:r w:rsidR="00042A90">
          <w:rPr>
            <w:webHidden/>
          </w:rPr>
          <w:tab/>
        </w:r>
        <w:r w:rsidR="00042A90">
          <w:rPr>
            <w:webHidden/>
          </w:rPr>
          <w:fldChar w:fldCharType="begin"/>
        </w:r>
        <w:r w:rsidR="00042A90">
          <w:rPr>
            <w:webHidden/>
          </w:rPr>
          <w:instrText xml:space="preserve"> PAGEREF _Toc224574171 \h </w:instrText>
        </w:r>
        <w:r w:rsidR="00042A90">
          <w:rPr>
            <w:webHidden/>
          </w:rPr>
        </w:r>
        <w:r w:rsidR="00042A90">
          <w:rPr>
            <w:webHidden/>
          </w:rPr>
          <w:fldChar w:fldCharType="separate"/>
        </w:r>
        <w:r w:rsidR="00042A90">
          <w:rPr>
            <w:webHidden/>
          </w:rPr>
          <w:t>7</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72" w:history="1">
        <w:r w:rsidR="00042A90" w:rsidRPr="009F0B0A">
          <w:rPr>
            <w:rStyle w:val="Lienhypertexte"/>
          </w:rPr>
          <w:t>Les charges à caractère général – Chapitre 011 : 8 870 623,00 €</w:t>
        </w:r>
        <w:r w:rsidR="00042A90">
          <w:rPr>
            <w:webHidden/>
          </w:rPr>
          <w:tab/>
        </w:r>
        <w:r w:rsidR="00042A90">
          <w:rPr>
            <w:webHidden/>
          </w:rPr>
          <w:fldChar w:fldCharType="begin"/>
        </w:r>
        <w:r w:rsidR="00042A90">
          <w:rPr>
            <w:webHidden/>
          </w:rPr>
          <w:instrText xml:space="preserve"> PAGEREF _Toc224574172 \h </w:instrText>
        </w:r>
        <w:r w:rsidR="00042A90">
          <w:rPr>
            <w:webHidden/>
          </w:rPr>
        </w:r>
        <w:r w:rsidR="00042A90">
          <w:rPr>
            <w:webHidden/>
          </w:rPr>
          <w:fldChar w:fldCharType="separate"/>
        </w:r>
        <w:r w:rsidR="00042A90">
          <w:rPr>
            <w:webHidden/>
          </w:rPr>
          <w:t>7</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73" w:history="1">
        <w:r w:rsidR="00042A90" w:rsidRPr="009F0B0A">
          <w:rPr>
            <w:rStyle w:val="Lienhypertexte"/>
          </w:rPr>
          <w:t>Les charges de personnel – Chapitre 012 : 24 401 000,00 €</w:t>
        </w:r>
        <w:r w:rsidR="00042A90">
          <w:rPr>
            <w:webHidden/>
          </w:rPr>
          <w:tab/>
        </w:r>
        <w:r w:rsidR="00042A90">
          <w:rPr>
            <w:webHidden/>
          </w:rPr>
          <w:fldChar w:fldCharType="begin"/>
        </w:r>
        <w:r w:rsidR="00042A90">
          <w:rPr>
            <w:webHidden/>
          </w:rPr>
          <w:instrText xml:space="preserve"> PAGEREF _Toc224574173 \h </w:instrText>
        </w:r>
        <w:r w:rsidR="00042A90">
          <w:rPr>
            <w:webHidden/>
          </w:rPr>
        </w:r>
        <w:r w:rsidR="00042A90">
          <w:rPr>
            <w:webHidden/>
          </w:rPr>
          <w:fldChar w:fldCharType="separate"/>
        </w:r>
        <w:r w:rsidR="00042A90">
          <w:rPr>
            <w:webHidden/>
          </w:rPr>
          <w:t>7</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74" w:history="1">
        <w:r w:rsidR="00042A90" w:rsidRPr="009F0B0A">
          <w:rPr>
            <w:rStyle w:val="Lienhypertexte"/>
          </w:rPr>
          <w:t>Les atténuations de produits – Chapitre 014 : 25 000,00€</w:t>
        </w:r>
        <w:r w:rsidR="00042A90">
          <w:rPr>
            <w:webHidden/>
          </w:rPr>
          <w:tab/>
        </w:r>
        <w:r w:rsidR="00042A90">
          <w:rPr>
            <w:webHidden/>
          </w:rPr>
          <w:fldChar w:fldCharType="begin"/>
        </w:r>
        <w:r w:rsidR="00042A90">
          <w:rPr>
            <w:webHidden/>
          </w:rPr>
          <w:instrText xml:space="preserve"> PAGEREF _Toc224574174 \h </w:instrText>
        </w:r>
        <w:r w:rsidR="00042A90">
          <w:rPr>
            <w:webHidden/>
          </w:rPr>
        </w:r>
        <w:r w:rsidR="00042A90">
          <w:rPr>
            <w:webHidden/>
          </w:rPr>
          <w:fldChar w:fldCharType="separate"/>
        </w:r>
        <w:r w:rsidR="00042A90">
          <w:rPr>
            <w:webHidden/>
          </w:rPr>
          <w:t>7</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75" w:history="1">
        <w:r w:rsidR="00042A90" w:rsidRPr="009F0B0A">
          <w:rPr>
            <w:rStyle w:val="Lienhypertexte"/>
          </w:rPr>
          <w:t>Les autres charges de gestion courante – Chapitre 65 : 4 171 053,00€</w:t>
        </w:r>
        <w:r w:rsidR="00042A90">
          <w:rPr>
            <w:webHidden/>
          </w:rPr>
          <w:tab/>
        </w:r>
        <w:r w:rsidR="00042A90">
          <w:rPr>
            <w:webHidden/>
          </w:rPr>
          <w:fldChar w:fldCharType="begin"/>
        </w:r>
        <w:r w:rsidR="00042A90">
          <w:rPr>
            <w:webHidden/>
          </w:rPr>
          <w:instrText xml:space="preserve"> PAGEREF _Toc224574175 \h </w:instrText>
        </w:r>
        <w:r w:rsidR="00042A90">
          <w:rPr>
            <w:webHidden/>
          </w:rPr>
        </w:r>
        <w:r w:rsidR="00042A90">
          <w:rPr>
            <w:webHidden/>
          </w:rPr>
          <w:fldChar w:fldCharType="separate"/>
        </w:r>
        <w:r w:rsidR="00042A90">
          <w:rPr>
            <w:webHidden/>
          </w:rPr>
          <w:t>8</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76" w:history="1">
        <w:r w:rsidR="00042A90" w:rsidRPr="009F0B0A">
          <w:rPr>
            <w:rStyle w:val="Lienhypertexte"/>
          </w:rPr>
          <w:t>Les charges financières – Chapitre 66 : 480 000,00 €</w:t>
        </w:r>
        <w:r w:rsidR="00042A90">
          <w:rPr>
            <w:webHidden/>
          </w:rPr>
          <w:tab/>
        </w:r>
        <w:r w:rsidR="00042A90">
          <w:rPr>
            <w:webHidden/>
          </w:rPr>
          <w:fldChar w:fldCharType="begin"/>
        </w:r>
        <w:r w:rsidR="00042A90">
          <w:rPr>
            <w:webHidden/>
          </w:rPr>
          <w:instrText xml:space="preserve"> PAGEREF _Toc224574176 \h </w:instrText>
        </w:r>
        <w:r w:rsidR="00042A90">
          <w:rPr>
            <w:webHidden/>
          </w:rPr>
        </w:r>
        <w:r w:rsidR="00042A90">
          <w:rPr>
            <w:webHidden/>
          </w:rPr>
          <w:fldChar w:fldCharType="separate"/>
        </w:r>
        <w:r w:rsidR="00042A90">
          <w:rPr>
            <w:webHidden/>
          </w:rPr>
          <w:t>8</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77" w:history="1">
        <w:r w:rsidR="00042A90" w:rsidRPr="009F0B0A">
          <w:rPr>
            <w:rStyle w:val="Lienhypertexte"/>
          </w:rPr>
          <w:t>Les charges exceptionnelles – Chapitre 67 : 98 000,00€</w:t>
        </w:r>
        <w:r w:rsidR="00042A90">
          <w:rPr>
            <w:webHidden/>
          </w:rPr>
          <w:tab/>
        </w:r>
        <w:r w:rsidR="00042A90">
          <w:rPr>
            <w:webHidden/>
          </w:rPr>
          <w:fldChar w:fldCharType="begin"/>
        </w:r>
        <w:r w:rsidR="00042A90">
          <w:rPr>
            <w:webHidden/>
          </w:rPr>
          <w:instrText xml:space="preserve"> PAGEREF _Toc224574177 \h </w:instrText>
        </w:r>
        <w:r w:rsidR="00042A90">
          <w:rPr>
            <w:webHidden/>
          </w:rPr>
        </w:r>
        <w:r w:rsidR="00042A90">
          <w:rPr>
            <w:webHidden/>
          </w:rPr>
          <w:fldChar w:fldCharType="separate"/>
        </w:r>
        <w:r w:rsidR="00042A90">
          <w:rPr>
            <w:webHidden/>
          </w:rPr>
          <w:t>8</w:t>
        </w:r>
        <w:r w:rsidR="00042A90">
          <w:rPr>
            <w:webHidden/>
          </w:rPr>
          <w:fldChar w:fldCharType="end"/>
        </w:r>
      </w:hyperlink>
    </w:p>
    <w:p w:rsidR="00042A90" w:rsidRDefault="00CD1E29">
      <w:pPr>
        <w:pStyle w:val="TM1"/>
        <w:rPr>
          <w:rFonts w:asciiTheme="minorHAnsi" w:eastAsiaTheme="minorEastAsia" w:hAnsiTheme="minorHAnsi" w:cstheme="minorBidi"/>
          <w:szCs w:val="22"/>
        </w:rPr>
      </w:pPr>
      <w:hyperlink w:anchor="_Toc224574178" w:history="1">
        <w:r w:rsidR="00042A90" w:rsidRPr="009F0B0A">
          <w:rPr>
            <w:rStyle w:val="Lienhypertexte"/>
          </w:rPr>
          <w:t>Les opérations de transferts entre sections – Chapitre 042  Dépenses : 2 706 000,00 € - Recettes : 489 000,00 €</w:t>
        </w:r>
        <w:r w:rsidR="00042A90">
          <w:rPr>
            <w:webHidden/>
          </w:rPr>
          <w:tab/>
        </w:r>
        <w:r w:rsidR="00042A90">
          <w:rPr>
            <w:webHidden/>
          </w:rPr>
          <w:fldChar w:fldCharType="begin"/>
        </w:r>
        <w:r w:rsidR="00042A90">
          <w:rPr>
            <w:webHidden/>
          </w:rPr>
          <w:instrText xml:space="preserve"> PAGEREF _Toc224574178 \h </w:instrText>
        </w:r>
        <w:r w:rsidR="00042A90">
          <w:rPr>
            <w:webHidden/>
          </w:rPr>
        </w:r>
        <w:r w:rsidR="00042A90">
          <w:rPr>
            <w:webHidden/>
          </w:rPr>
          <w:fldChar w:fldCharType="separate"/>
        </w:r>
        <w:r w:rsidR="00042A90">
          <w:rPr>
            <w:webHidden/>
          </w:rPr>
          <w:t>8</w:t>
        </w:r>
        <w:r w:rsidR="00042A90">
          <w:rPr>
            <w:webHidden/>
          </w:rPr>
          <w:fldChar w:fldCharType="end"/>
        </w:r>
      </w:hyperlink>
    </w:p>
    <w:p w:rsidR="00042A90" w:rsidRDefault="00CD1E29">
      <w:pPr>
        <w:pStyle w:val="TM1"/>
        <w:rPr>
          <w:rFonts w:asciiTheme="minorHAnsi" w:eastAsiaTheme="minorEastAsia" w:hAnsiTheme="minorHAnsi" w:cstheme="minorBidi"/>
          <w:szCs w:val="22"/>
        </w:rPr>
      </w:pPr>
      <w:hyperlink w:anchor="_Toc224574179" w:history="1">
        <w:r w:rsidR="00042A90" w:rsidRPr="009F0B0A">
          <w:rPr>
            <w:rStyle w:val="Lienhypertexte"/>
          </w:rPr>
          <w:t>Virement à la section d’investissement – Chapitre 023 :  8 579 337,05 €</w:t>
        </w:r>
        <w:r w:rsidR="00042A90">
          <w:rPr>
            <w:webHidden/>
          </w:rPr>
          <w:tab/>
        </w:r>
        <w:r w:rsidR="00042A90">
          <w:rPr>
            <w:webHidden/>
          </w:rPr>
          <w:fldChar w:fldCharType="begin"/>
        </w:r>
        <w:r w:rsidR="00042A90">
          <w:rPr>
            <w:webHidden/>
          </w:rPr>
          <w:instrText xml:space="preserve"> PAGEREF _Toc224574179 \h </w:instrText>
        </w:r>
        <w:r w:rsidR="00042A90">
          <w:rPr>
            <w:webHidden/>
          </w:rPr>
        </w:r>
        <w:r w:rsidR="00042A90">
          <w:rPr>
            <w:webHidden/>
          </w:rPr>
          <w:fldChar w:fldCharType="separate"/>
        </w:r>
        <w:r w:rsidR="00042A90">
          <w:rPr>
            <w:webHidden/>
          </w:rPr>
          <w:t>8</w:t>
        </w:r>
        <w:r w:rsidR="00042A90">
          <w:rPr>
            <w:webHidden/>
          </w:rPr>
          <w:fldChar w:fldCharType="end"/>
        </w:r>
      </w:hyperlink>
    </w:p>
    <w:p w:rsidR="00042A90" w:rsidRDefault="00CD1E29">
      <w:pPr>
        <w:pStyle w:val="TM1"/>
        <w:rPr>
          <w:rFonts w:asciiTheme="minorHAnsi" w:eastAsiaTheme="minorEastAsia" w:hAnsiTheme="minorHAnsi" w:cstheme="minorBidi"/>
          <w:szCs w:val="22"/>
        </w:rPr>
      </w:pPr>
      <w:hyperlink w:anchor="_Toc224574180" w:history="1">
        <w:r w:rsidR="00042A90" w:rsidRPr="009F0B0A">
          <w:rPr>
            <w:rStyle w:val="Lienhypertexte"/>
          </w:rPr>
          <w:t>SECTION D’INVESTISSEMENT</w:t>
        </w:r>
        <w:r w:rsidR="00042A90">
          <w:rPr>
            <w:webHidden/>
          </w:rPr>
          <w:tab/>
        </w:r>
        <w:r w:rsidR="00042A90">
          <w:rPr>
            <w:webHidden/>
          </w:rPr>
          <w:fldChar w:fldCharType="begin"/>
        </w:r>
        <w:r w:rsidR="00042A90">
          <w:rPr>
            <w:webHidden/>
          </w:rPr>
          <w:instrText xml:space="preserve"> PAGEREF _Toc224574180 \h </w:instrText>
        </w:r>
        <w:r w:rsidR="00042A90">
          <w:rPr>
            <w:webHidden/>
          </w:rPr>
        </w:r>
        <w:r w:rsidR="00042A90">
          <w:rPr>
            <w:webHidden/>
          </w:rPr>
          <w:fldChar w:fldCharType="separate"/>
        </w:r>
        <w:r w:rsidR="00042A90">
          <w:rPr>
            <w:webHidden/>
          </w:rPr>
          <w:t>9</w:t>
        </w:r>
        <w:r w:rsidR="00042A90">
          <w:rPr>
            <w:webHidden/>
          </w:rPr>
          <w:fldChar w:fldCharType="end"/>
        </w:r>
      </w:hyperlink>
    </w:p>
    <w:p w:rsidR="00042A90" w:rsidRDefault="00CD1E29">
      <w:pPr>
        <w:pStyle w:val="TM1"/>
        <w:rPr>
          <w:rFonts w:asciiTheme="minorHAnsi" w:eastAsiaTheme="minorEastAsia" w:hAnsiTheme="minorHAnsi" w:cstheme="minorBidi"/>
          <w:szCs w:val="22"/>
        </w:rPr>
      </w:pPr>
      <w:hyperlink w:anchor="_Toc224574181" w:history="1">
        <w:r w:rsidR="00042A90" w:rsidRPr="009F0B0A">
          <w:rPr>
            <w:rStyle w:val="Lienhypertexte"/>
          </w:rPr>
          <w:t>LES DEPENSES D’INVESTISSEMENT</w:t>
        </w:r>
        <w:r w:rsidR="00042A90">
          <w:rPr>
            <w:webHidden/>
          </w:rPr>
          <w:tab/>
        </w:r>
        <w:r w:rsidR="00042A90">
          <w:rPr>
            <w:webHidden/>
          </w:rPr>
          <w:fldChar w:fldCharType="begin"/>
        </w:r>
        <w:r w:rsidR="00042A90">
          <w:rPr>
            <w:webHidden/>
          </w:rPr>
          <w:instrText xml:space="preserve"> PAGEREF _Toc224574181 \h </w:instrText>
        </w:r>
        <w:r w:rsidR="00042A90">
          <w:rPr>
            <w:webHidden/>
          </w:rPr>
        </w:r>
        <w:r w:rsidR="00042A90">
          <w:rPr>
            <w:webHidden/>
          </w:rPr>
          <w:fldChar w:fldCharType="separate"/>
        </w:r>
        <w:r w:rsidR="00042A90">
          <w:rPr>
            <w:webHidden/>
          </w:rPr>
          <w:t>9</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82" w:history="1">
        <w:r w:rsidR="00042A90" w:rsidRPr="009F0B0A">
          <w:rPr>
            <w:rStyle w:val="Lienhypertexte"/>
          </w:rPr>
          <w:t>Les dépenses d’équipement – Chapitres 20, 204, 21 et 23 : 20 332 026,58 €</w:t>
        </w:r>
        <w:r w:rsidR="00042A90">
          <w:rPr>
            <w:webHidden/>
          </w:rPr>
          <w:tab/>
        </w:r>
        <w:r w:rsidR="00042A90">
          <w:rPr>
            <w:webHidden/>
          </w:rPr>
          <w:fldChar w:fldCharType="begin"/>
        </w:r>
        <w:r w:rsidR="00042A90">
          <w:rPr>
            <w:webHidden/>
          </w:rPr>
          <w:instrText xml:space="preserve"> PAGEREF _Toc224574182 \h </w:instrText>
        </w:r>
        <w:r w:rsidR="00042A90">
          <w:rPr>
            <w:webHidden/>
          </w:rPr>
        </w:r>
        <w:r w:rsidR="00042A90">
          <w:rPr>
            <w:webHidden/>
          </w:rPr>
          <w:fldChar w:fldCharType="separate"/>
        </w:r>
        <w:r w:rsidR="00042A90">
          <w:rPr>
            <w:webHidden/>
          </w:rPr>
          <w:t>9</w:t>
        </w:r>
        <w:r w:rsidR="00042A90">
          <w:rPr>
            <w:webHidden/>
          </w:rPr>
          <w:fldChar w:fldCharType="end"/>
        </w:r>
      </w:hyperlink>
    </w:p>
    <w:p w:rsidR="00042A90" w:rsidRDefault="00CD1E29">
      <w:pPr>
        <w:pStyle w:val="TM3"/>
        <w:tabs>
          <w:tab w:val="right" w:leader="dot" w:pos="10195"/>
        </w:tabs>
        <w:rPr>
          <w:rFonts w:asciiTheme="minorHAnsi" w:eastAsiaTheme="minorEastAsia" w:hAnsiTheme="minorHAnsi" w:cstheme="minorBidi"/>
          <w:noProof/>
        </w:rPr>
      </w:pPr>
      <w:hyperlink w:anchor="_Toc224574183" w:history="1">
        <w:r w:rsidR="00042A90" w:rsidRPr="009F0B0A">
          <w:rPr>
            <w:rStyle w:val="Lienhypertexte"/>
            <w:noProof/>
          </w:rPr>
          <w:t>Les autorisations de programme votée par opération : 15 322 220€</w:t>
        </w:r>
        <w:r w:rsidR="00042A90">
          <w:rPr>
            <w:noProof/>
            <w:webHidden/>
          </w:rPr>
          <w:tab/>
        </w:r>
        <w:r w:rsidR="00042A90">
          <w:rPr>
            <w:noProof/>
            <w:webHidden/>
          </w:rPr>
          <w:fldChar w:fldCharType="begin"/>
        </w:r>
        <w:r w:rsidR="00042A90">
          <w:rPr>
            <w:noProof/>
            <w:webHidden/>
          </w:rPr>
          <w:instrText xml:space="preserve"> PAGEREF _Toc224574183 \h </w:instrText>
        </w:r>
        <w:r w:rsidR="00042A90">
          <w:rPr>
            <w:noProof/>
            <w:webHidden/>
          </w:rPr>
        </w:r>
        <w:r w:rsidR="00042A90">
          <w:rPr>
            <w:noProof/>
            <w:webHidden/>
          </w:rPr>
          <w:fldChar w:fldCharType="separate"/>
        </w:r>
        <w:r w:rsidR="00042A90">
          <w:rPr>
            <w:noProof/>
            <w:webHidden/>
          </w:rPr>
          <w:t>9</w:t>
        </w:r>
        <w:r w:rsidR="00042A90">
          <w:rPr>
            <w:noProof/>
            <w:webHidden/>
          </w:rPr>
          <w:fldChar w:fldCharType="end"/>
        </w:r>
      </w:hyperlink>
    </w:p>
    <w:p w:rsidR="00042A90" w:rsidRDefault="00CD1E29">
      <w:pPr>
        <w:pStyle w:val="TM3"/>
        <w:tabs>
          <w:tab w:val="right" w:leader="dot" w:pos="10195"/>
        </w:tabs>
        <w:rPr>
          <w:rFonts w:asciiTheme="minorHAnsi" w:eastAsiaTheme="minorEastAsia" w:hAnsiTheme="minorHAnsi" w:cstheme="minorBidi"/>
          <w:noProof/>
        </w:rPr>
      </w:pPr>
      <w:hyperlink w:anchor="_Toc224574184" w:history="1">
        <w:r w:rsidR="00042A90" w:rsidRPr="009F0B0A">
          <w:rPr>
            <w:rStyle w:val="Lienhypertexte"/>
            <w:noProof/>
          </w:rPr>
          <w:t>Les nouvelles opérations d’équipement : 3 563 646 €</w:t>
        </w:r>
        <w:r w:rsidR="00042A90">
          <w:rPr>
            <w:noProof/>
            <w:webHidden/>
          </w:rPr>
          <w:tab/>
        </w:r>
        <w:r w:rsidR="00042A90">
          <w:rPr>
            <w:noProof/>
            <w:webHidden/>
          </w:rPr>
          <w:fldChar w:fldCharType="begin"/>
        </w:r>
        <w:r w:rsidR="00042A90">
          <w:rPr>
            <w:noProof/>
            <w:webHidden/>
          </w:rPr>
          <w:instrText xml:space="preserve"> PAGEREF _Toc224574184 \h </w:instrText>
        </w:r>
        <w:r w:rsidR="00042A90">
          <w:rPr>
            <w:noProof/>
            <w:webHidden/>
          </w:rPr>
        </w:r>
        <w:r w:rsidR="00042A90">
          <w:rPr>
            <w:noProof/>
            <w:webHidden/>
          </w:rPr>
          <w:fldChar w:fldCharType="separate"/>
        </w:r>
        <w:r w:rsidR="00042A90">
          <w:rPr>
            <w:noProof/>
            <w:webHidden/>
          </w:rPr>
          <w:t>9</w:t>
        </w:r>
        <w:r w:rsidR="00042A90">
          <w:rPr>
            <w:noProof/>
            <w:webHidden/>
          </w:rPr>
          <w:fldChar w:fldCharType="end"/>
        </w:r>
      </w:hyperlink>
    </w:p>
    <w:p w:rsidR="00042A90" w:rsidRDefault="00CD1E29">
      <w:pPr>
        <w:pStyle w:val="TM3"/>
        <w:tabs>
          <w:tab w:val="right" w:leader="dot" w:pos="10195"/>
        </w:tabs>
        <w:rPr>
          <w:rFonts w:asciiTheme="minorHAnsi" w:eastAsiaTheme="minorEastAsia" w:hAnsiTheme="minorHAnsi" w:cstheme="minorBidi"/>
          <w:noProof/>
        </w:rPr>
      </w:pPr>
      <w:hyperlink w:anchor="_Toc224574185" w:history="1">
        <w:r w:rsidR="00042A90" w:rsidRPr="009F0B0A">
          <w:rPr>
            <w:rStyle w:val="Lienhypertexte"/>
            <w:noProof/>
          </w:rPr>
          <w:t>Les subventions d’investissement – Chapitre 204 : 55 000,00 €</w:t>
        </w:r>
        <w:r w:rsidR="00042A90">
          <w:rPr>
            <w:noProof/>
            <w:webHidden/>
          </w:rPr>
          <w:tab/>
        </w:r>
        <w:r w:rsidR="00042A90">
          <w:rPr>
            <w:noProof/>
            <w:webHidden/>
          </w:rPr>
          <w:fldChar w:fldCharType="begin"/>
        </w:r>
        <w:r w:rsidR="00042A90">
          <w:rPr>
            <w:noProof/>
            <w:webHidden/>
          </w:rPr>
          <w:instrText xml:space="preserve"> PAGEREF _Toc224574185 \h </w:instrText>
        </w:r>
        <w:r w:rsidR="00042A90">
          <w:rPr>
            <w:noProof/>
            <w:webHidden/>
          </w:rPr>
        </w:r>
        <w:r w:rsidR="00042A90">
          <w:rPr>
            <w:noProof/>
            <w:webHidden/>
          </w:rPr>
          <w:fldChar w:fldCharType="separate"/>
        </w:r>
        <w:r w:rsidR="00042A90">
          <w:rPr>
            <w:noProof/>
            <w:webHidden/>
          </w:rPr>
          <w:t>10</w:t>
        </w:r>
        <w:r w:rsidR="00042A90">
          <w:rPr>
            <w:noProof/>
            <w:webHidden/>
          </w:rPr>
          <w:fldChar w:fldCharType="end"/>
        </w:r>
      </w:hyperlink>
    </w:p>
    <w:p w:rsidR="00042A90" w:rsidRDefault="00CD1E29">
      <w:pPr>
        <w:pStyle w:val="TM3"/>
        <w:tabs>
          <w:tab w:val="right" w:leader="dot" w:pos="10195"/>
        </w:tabs>
        <w:rPr>
          <w:rFonts w:asciiTheme="minorHAnsi" w:eastAsiaTheme="minorEastAsia" w:hAnsiTheme="minorHAnsi" w:cstheme="minorBidi"/>
          <w:noProof/>
        </w:rPr>
      </w:pPr>
      <w:hyperlink w:anchor="_Toc224574186" w:history="1">
        <w:r w:rsidR="00042A90" w:rsidRPr="009F0B0A">
          <w:rPr>
            <w:rStyle w:val="Lienhypertexte"/>
            <w:noProof/>
          </w:rPr>
          <w:t>Les restes à réaliser des opérations d’équipement – Chapitres 20, 204, 21 et 23 : 1 391 160,58 €</w:t>
        </w:r>
        <w:r w:rsidR="00042A90">
          <w:rPr>
            <w:noProof/>
            <w:webHidden/>
          </w:rPr>
          <w:tab/>
        </w:r>
        <w:r w:rsidR="00042A90">
          <w:rPr>
            <w:noProof/>
            <w:webHidden/>
          </w:rPr>
          <w:fldChar w:fldCharType="begin"/>
        </w:r>
        <w:r w:rsidR="00042A90">
          <w:rPr>
            <w:noProof/>
            <w:webHidden/>
          </w:rPr>
          <w:instrText xml:space="preserve"> PAGEREF _Toc224574186 \h </w:instrText>
        </w:r>
        <w:r w:rsidR="00042A90">
          <w:rPr>
            <w:noProof/>
            <w:webHidden/>
          </w:rPr>
        </w:r>
        <w:r w:rsidR="00042A90">
          <w:rPr>
            <w:noProof/>
            <w:webHidden/>
          </w:rPr>
          <w:fldChar w:fldCharType="separate"/>
        </w:r>
        <w:r w:rsidR="00042A90">
          <w:rPr>
            <w:noProof/>
            <w:webHidden/>
          </w:rPr>
          <w:t>10</w:t>
        </w:r>
        <w:r w:rsidR="00042A90">
          <w:rPr>
            <w:noProof/>
            <w:webHidden/>
          </w:rPr>
          <w:fldChar w:fldCharType="end"/>
        </w:r>
      </w:hyperlink>
    </w:p>
    <w:p w:rsidR="00042A90" w:rsidRDefault="00CD1E29">
      <w:pPr>
        <w:pStyle w:val="TM2"/>
        <w:rPr>
          <w:rFonts w:asciiTheme="minorHAnsi" w:eastAsiaTheme="minorEastAsia" w:hAnsiTheme="minorHAnsi" w:cstheme="minorBidi"/>
          <w:szCs w:val="22"/>
        </w:rPr>
      </w:pPr>
      <w:hyperlink w:anchor="_Toc224574187" w:history="1">
        <w:r w:rsidR="00042A90" w:rsidRPr="009F0B0A">
          <w:rPr>
            <w:rStyle w:val="Lienhypertexte"/>
          </w:rPr>
          <w:t>Les emprunts et dettes – Chapitre 16 : 2 515 244,00 €</w:t>
        </w:r>
        <w:r w:rsidR="00042A90">
          <w:rPr>
            <w:webHidden/>
          </w:rPr>
          <w:tab/>
        </w:r>
        <w:r w:rsidR="00042A90">
          <w:rPr>
            <w:webHidden/>
          </w:rPr>
          <w:fldChar w:fldCharType="begin"/>
        </w:r>
        <w:r w:rsidR="00042A90">
          <w:rPr>
            <w:webHidden/>
          </w:rPr>
          <w:instrText xml:space="preserve"> PAGEREF _Toc224574187 \h </w:instrText>
        </w:r>
        <w:r w:rsidR="00042A90">
          <w:rPr>
            <w:webHidden/>
          </w:rPr>
        </w:r>
        <w:r w:rsidR="00042A90">
          <w:rPr>
            <w:webHidden/>
          </w:rPr>
          <w:fldChar w:fldCharType="separate"/>
        </w:r>
        <w:r w:rsidR="00042A90">
          <w:rPr>
            <w:webHidden/>
          </w:rPr>
          <w:t>10</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88" w:history="1">
        <w:r w:rsidR="00042A90" w:rsidRPr="009F0B0A">
          <w:rPr>
            <w:rStyle w:val="Lienhypertexte"/>
          </w:rPr>
          <w:t>Les autres immobilisations financières – Chapitre 27 : 5 000,00€</w:t>
        </w:r>
        <w:r w:rsidR="00042A90">
          <w:rPr>
            <w:webHidden/>
          </w:rPr>
          <w:tab/>
        </w:r>
        <w:r w:rsidR="00042A90">
          <w:rPr>
            <w:webHidden/>
          </w:rPr>
          <w:fldChar w:fldCharType="begin"/>
        </w:r>
        <w:r w:rsidR="00042A90">
          <w:rPr>
            <w:webHidden/>
          </w:rPr>
          <w:instrText xml:space="preserve"> PAGEREF _Toc224574188 \h </w:instrText>
        </w:r>
        <w:r w:rsidR="00042A90">
          <w:rPr>
            <w:webHidden/>
          </w:rPr>
        </w:r>
        <w:r w:rsidR="00042A90">
          <w:rPr>
            <w:webHidden/>
          </w:rPr>
          <w:fldChar w:fldCharType="separate"/>
        </w:r>
        <w:r w:rsidR="00042A90">
          <w:rPr>
            <w:webHidden/>
          </w:rPr>
          <w:t>10</w:t>
        </w:r>
        <w:r w:rsidR="00042A90">
          <w:rPr>
            <w:webHidden/>
          </w:rPr>
          <w:fldChar w:fldCharType="end"/>
        </w:r>
      </w:hyperlink>
    </w:p>
    <w:p w:rsidR="00042A90" w:rsidRDefault="00CD1E29">
      <w:pPr>
        <w:pStyle w:val="TM1"/>
        <w:rPr>
          <w:rFonts w:asciiTheme="minorHAnsi" w:eastAsiaTheme="minorEastAsia" w:hAnsiTheme="minorHAnsi" w:cstheme="minorBidi"/>
          <w:szCs w:val="22"/>
        </w:rPr>
      </w:pPr>
      <w:hyperlink w:anchor="_Toc224574189" w:history="1">
        <w:r w:rsidR="00042A90" w:rsidRPr="009F0B0A">
          <w:rPr>
            <w:rStyle w:val="Lienhypertexte"/>
          </w:rPr>
          <w:t>Le solde d’exécution de la section d’investissement  de 2024 reporté – chapitre 001 – 1 531 138,26 €</w:t>
        </w:r>
        <w:r w:rsidR="00042A90">
          <w:rPr>
            <w:webHidden/>
          </w:rPr>
          <w:tab/>
        </w:r>
        <w:r w:rsidR="00042A90">
          <w:rPr>
            <w:webHidden/>
          </w:rPr>
          <w:fldChar w:fldCharType="begin"/>
        </w:r>
        <w:r w:rsidR="00042A90">
          <w:rPr>
            <w:webHidden/>
          </w:rPr>
          <w:instrText xml:space="preserve"> PAGEREF _Toc224574189 \h </w:instrText>
        </w:r>
        <w:r w:rsidR="00042A90">
          <w:rPr>
            <w:webHidden/>
          </w:rPr>
        </w:r>
        <w:r w:rsidR="00042A90">
          <w:rPr>
            <w:webHidden/>
          </w:rPr>
          <w:fldChar w:fldCharType="separate"/>
        </w:r>
        <w:r w:rsidR="00042A90">
          <w:rPr>
            <w:webHidden/>
          </w:rPr>
          <w:t>11</w:t>
        </w:r>
        <w:r w:rsidR="00042A90">
          <w:rPr>
            <w:webHidden/>
          </w:rPr>
          <w:fldChar w:fldCharType="end"/>
        </w:r>
      </w:hyperlink>
    </w:p>
    <w:p w:rsidR="00042A90" w:rsidRDefault="00CD1E29">
      <w:pPr>
        <w:pStyle w:val="TM1"/>
        <w:rPr>
          <w:rFonts w:asciiTheme="minorHAnsi" w:eastAsiaTheme="minorEastAsia" w:hAnsiTheme="minorHAnsi" w:cstheme="minorBidi"/>
          <w:szCs w:val="22"/>
        </w:rPr>
      </w:pPr>
      <w:hyperlink w:anchor="_Toc224574190" w:history="1">
        <w:r w:rsidR="00042A90" w:rsidRPr="009F0B0A">
          <w:rPr>
            <w:rStyle w:val="Lienhypertexte"/>
          </w:rPr>
          <w:t>LES RECETTES D’INVESTISSEMENT</w:t>
        </w:r>
        <w:r w:rsidR="00042A90">
          <w:rPr>
            <w:webHidden/>
          </w:rPr>
          <w:tab/>
        </w:r>
        <w:r w:rsidR="00042A90">
          <w:rPr>
            <w:webHidden/>
          </w:rPr>
          <w:fldChar w:fldCharType="begin"/>
        </w:r>
        <w:r w:rsidR="00042A90">
          <w:rPr>
            <w:webHidden/>
          </w:rPr>
          <w:instrText xml:space="preserve"> PAGEREF _Toc224574190 \h </w:instrText>
        </w:r>
        <w:r w:rsidR="00042A90">
          <w:rPr>
            <w:webHidden/>
          </w:rPr>
        </w:r>
        <w:r w:rsidR="00042A90">
          <w:rPr>
            <w:webHidden/>
          </w:rPr>
          <w:fldChar w:fldCharType="separate"/>
        </w:r>
        <w:r w:rsidR="00042A90">
          <w:rPr>
            <w:webHidden/>
          </w:rPr>
          <w:t>12</w:t>
        </w:r>
        <w:r w:rsidR="00042A90">
          <w:rPr>
            <w:webHidden/>
          </w:rPr>
          <w:fldChar w:fldCharType="end"/>
        </w:r>
      </w:hyperlink>
    </w:p>
    <w:p w:rsidR="00042A90" w:rsidRDefault="00CD1E29">
      <w:pPr>
        <w:pStyle w:val="TM1"/>
        <w:rPr>
          <w:rFonts w:asciiTheme="minorHAnsi" w:eastAsiaTheme="minorEastAsia" w:hAnsiTheme="minorHAnsi" w:cstheme="minorBidi"/>
          <w:szCs w:val="22"/>
        </w:rPr>
      </w:pPr>
      <w:hyperlink w:anchor="_Toc224574191" w:history="1">
        <w:r w:rsidR="00042A90" w:rsidRPr="009F0B0A">
          <w:rPr>
            <w:rStyle w:val="Lienhypertexte"/>
          </w:rPr>
          <w:t>Virement depuis la section de fonctionnement – Chapitre 021 :  8 579 337,05 €</w:t>
        </w:r>
        <w:r w:rsidR="00042A90">
          <w:rPr>
            <w:webHidden/>
          </w:rPr>
          <w:tab/>
        </w:r>
        <w:r w:rsidR="00042A90">
          <w:rPr>
            <w:webHidden/>
          </w:rPr>
          <w:fldChar w:fldCharType="begin"/>
        </w:r>
        <w:r w:rsidR="00042A90">
          <w:rPr>
            <w:webHidden/>
          </w:rPr>
          <w:instrText xml:space="preserve"> PAGEREF _Toc224574191 \h </w:instrText>
        </w:r>
        <w:r w:rsidR="00042A90">
          <w:rPr>
            <w:webHidden/>
          </w:rPr>
        </w:r>
        <w:r w:rsidR="00042A90">
          <w:rPr>
            <w:webHidden/>
          </w:rPr>
          <w:fldChar w:fldCharType="separate"/>
        </w:r>
        <w:r w:rsidR="00042A90">
          <w:rPr>
            <w:webHidden/>
          </w:rPr>
          <w:t>12</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92" w:history="1">
        <w:r w:rsidR="00042A90" w:rsidRPr="009F0B0A">
          <w:rPr>
            <w:rStyle w:val="Lienhypertexte"/>
          </w:rPr>
          <w:t>Cessions – Chapitre 024 : 60 000,00€</w:t>
        </w:r>
        <w:r w:rsidR="00042A90">
          <w:rPr>
            <w:webHidden/>
          </w:rPr>
          <w:tab/>
        </w:r>
        <w:r w:rsidR="00042A90">
          <w:rPr>
            <w:webHidden/>
          </w:rPr>
          <w:fldChar w:fldCharType="begin"/>
        </w:r>
        <w:r w:rsidR="00042A90">
          <w:rPr>
            <w:webHidden/>
          </w:rPr>
          <w:instrText xml:space="preserve"> PAGEREF _Toc224574192 \h </w:instrText>
        </w:r>
        <w:r w:rsidR="00042A90">
          <w:rPr>
            <w:webHidden/>
          </w:rPr>
        </w:r>
        <w:r w:rsidR="00042A90">
          <w:rPr>
            <w:webHidden/>
          </w:rPr>
          <w:fldChar w:fldCharType="separate"/>
        </w:r>
        <w:r w:rsidR="00042A90">
          <w:rPr>
            <w:webHidden/>
          </w:rPr>
          <w:t>12</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93" w:history="1">
        <w:r w:rsidR="00042A90" w:rsidRPr="009F0B0A">
          <w:rPr>
            <w:rStyle w:val="Lienhypertexte"/>
          </w:rPr>
          <w:t>Les dotations, fonds divers et réserves – Chapitre 10 : 2 569 650,03 € :</w:t>
        </w:r>
        <w:r w:rsidR="00042A90">
          <w:rPr>
            <w:webHidden/>
          </w:rPr>
          <w:tab/>
        </w:r>
        <w:r w:rsidR="00042A90">
          <w:rPr>
            <w:webHidden/>
          </w:rPr>
          <w:fldChar w:fldCharType="begin"/>
        </w:r>
        <w:r w:rsidR="00042A90">
          <w:rPr>
            <w:webHidden/>
          </w:rPr>
          <w:instrText xml:space="preserve"> PAGEREF _Toc224574193 \h </w:instrText>
        </w:r>
        <w:r w:rsidR="00042A90">
          <w:rPr>
            <w:webHidden/>
          </w:rPr>
        </w:r>
        <w:r w:rsidR="00042A90">
          <w:rPr>
            <w:webHidden/>
          </w:rPr>
          <w:fldChar w:fldCharType="separate"/>
        </w:r>
        <w:r w:rsidR="00042A90">
          <w:rPr>
            <w:webHidden/>
          </w:rPr>
          <w:t>12</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94" w:history="1">
        <w:r w:rsidR="00042A90" w:rsidRPr="009F0B0A">
          <w:rPr>
            <w:rStyle w:val="Lienhypertexte"/>
          </w:rPr>
          <w:t>Les subventions d’équipement – Chapitre 13 : 4 983 660,00 € au BP ; 1 232 648,81 € en RAR</w:t>
        </w:r>
        <w:r w:rsidR="00042A90">
          <w:rPr>
            <w:webHidden/>
          </w:rPr>
          <w:tab/>
        </w:r>
        <w:r w:rsidR="00042A90">
          <w:rPr>
            <w:webHidden/>
          </w:rPr>
          <w:fldChar w:fldCharType="begin"/>
        </w:r>
        <w:r w:rsidR="00042A90">
          <w:rPr>
            <w:webHidden/>
          </w:rPr>
          <w:instrText xml:space="preserve"> PAGEREF _Toc224574194 \h </w:instrText>
        </w:r>
        <w:r w:rsidR="00042A90">
          <w:rPr>
            <w:webHidden/>
          </w:rPr>
        </w:r>
        <w:r w:rsidR="00042A90">
          <w:rPr>
            <w:webHidden/>
          </w:rPr>
          <w:fldChar w:fldCharType="separate"/>
        </w:r>
        <w:r w:rsidR="00042A90">
          <w:rPr>
            <w:webHidden/>
          </w:rPr>
          <w:t>12</w:t>
        </w:r>
        <w:r w:rsidR="00042A90">
          <w:rPr>
            <w:webHidden/>
          </w:rPr>
          <w:fldChar w:fldCharType="end"/>
        </w:r>
      </w:hyperlink>
    </w:p>
    <w:p w:rsidR="00042A90" w:rsidRDefault="00CD1E29">
      <w:pPr>
        <w:pStyle w:val="TM3"/>
        <w:tabs>
          <w:tab w:val="right" w:leader="dot" w:pos="10195"/>
        </w:tabs>
        <w:rPr>
          <w:rFonts w:asciiTheme="minorHAnsi" w:eastAsiaTheme="minorEastAsia" w:hAnsiTheme="minorHAnsi" w:cstheme="minorBidi"/>
          <w:noProof/>
        </w:rPr>
      </w:pPr>
      <w:hyperlink w:anchor="_Toc224574195" w:history="1">
        <w:r w:rsidR="00042A90" w:rsidRPr="009F0B0A">
          <w:rPr>
            <w:rStyle w:val="Lienhypertexte"/>
            <w:noProof/>
          </w:rPr>
          <w:t>Les restes à réaliser : 1 232 648,81 € :</w:t>
        </w:r>
        <w:r w:rsidR="00042A90">
          <w:rPr>
            <w:noProof/>
            <w:webHidden/>
          </w:rPr>
          <w:tab/>
        </w:r>
        <w:r w:rsidR="00042A90">
          <w:rPr>
            <w:noProof/>
            <w:webHidden/>
          </w:rPr>
          <w:fldChar w:fldCharType="begin"/>
        </w:r>
        <w:r w:rsidR="00042A90">
          <w:rPr>
            <w:noProof/>
            <w:webHidden/>
          </w:rPr>
          <w:instrText xml:space="preserve"> PAGEREF _Toc224574195 \h </w:instrText>
        </w:r>
        <w:r w:rsidR="00042A90">
          <w:rPr>
            <w:noProof/>
            <w:webHidden/>
          </w:rPr>
        </w:r>
        <w:r w:rsidR="00042A90">
          <w:rPr>
            <w:noProof/>
            <w:webHidden/>
          </w:rPr>
          <w:fldChar w:fldCharType="separate"/>
        </w:r>
        <w:r w:rsidR="00042A90">
          <w:rPr>
            <w:noProof/>
            <w:webHidden/>
          </w:rPr>
          <w:t>13</w:t>
        </w:r>
        <w:r w:rsidR="00042A90">
          <w:rPr>
            <w:noProof/>
            <w:webHidden/>
          </w:rPr>
          <w:fldChar w:fldCharType="end"/>
        </w:r>
      </w:hyperlink>
    </w:p>
    <w:p w:rsidR="00042A90" w:rsidRDefault="00CD1E29">
      <w:pPr>
        <w:pStyle w:val="TM2"/>
        <w:rPr>
          <w:rFonts w:asciiTheme="minorHAnsi" w:eastAsiaTheme="minorEastAsia" w:hAnsiTheme="minorHAnsi" w:cstheme="minorBidi"/>
          <w:szCs w:val="22"/>
        </w:rPr>
      </w:pPr>
      <w:hyperlink w:anchor="_Toc224574196" w:history="1">
        <w:r w:rsidR="00042A90" w:rsidRPr="009F0B0A">
          <w:rPr>
            <w:rStyle w:val="Lienhypertexte"/>
          </w:rPr>
          <w:t>Les emprunts et dettes – Chapitre 16 : 5 500 000,00€ au BP</w:t>
        </w:r>
        <w:r w:rsidR="00042A90">
          <w:rPr>
            <w:webHidden/>
          </w:rPr>
          <w:tab/>
        </w:r>
        <w:r w:rsidR="00042A90">
          <w:rPr>
            <w:webHidden/>
          </w:rPr>
          <w:fldChar w:fldCharType="begin"/>
        </w:r>
        <w:r w:rsidR="00042A90">
          <w:rPr>
            <w:webHidden/>
          </w:rPr>
          <w:instrText xml:space="preserve"> PAGEREF _Toc224574196 \h </w:instrText>
        </w:r>
        <w:r w:rsidR="00042A90">
          <w:rPr>
            <w:webHidden/>
          </w:rPr>
        </w:r>
        <w:r w:rsidR="00042A90">
          <w:rPr>
            <w:webHidden/>
          </w:rPr>
          <w:fldChar w:fldCharType="separate"/>
        </w:r>
        <w:r w:rsidR="00042A90">
          <w:rPr>
            <w:webHidden/>
          </w:rPr>
          <w:t>13</w:t>
        </w:r>
        <w:r w:rsidR="00042A90">
          <w:rPr>
            <w:webHidden/>
          </w:rPr>
          <w:fldChar w:fldCharType="end"/>
        </w:r>
      </w:hyperlink>
    </w:p>
    <w:p w:rsidR="00042A90" w:rsidRDefault="00CD1E29">
      <w:pPr>
        <w:pStyle w:val="TM2"/>
        <w:rPr>
          <w:rFonts w:asciiTheme="minorHAnsi" w:eastAsiaTheme="minorEastAsia" w:hAnsiTheme="minorHAnsi" w:cstheme="minorBidi"/>
          <w:szCs w:val="22"/>
        </w:rPr>
      </w:pPr>
      <w:hyperlink w:anchor="_Toc224574197" w:history="1">
        <w:r w:rsidR="00042A90" w:rsidRPr="009F0B0A">
          <w:rPr>
            <w:rStyle w:val="Lienhypertexte"/>
          </w:rPr>
          <w:t>Les autres immobilisations financières– Compte 27 – 43 000,00 €</w:t>
        </w:r>
        <w:r w:rsidR="00042A90">
          <w:rPr>
            <w:webHidden/>
          </w:rPr>
          <w:tab/>
        </w:r>
        <w:r w:rsidR="00042A90">
          <w:rPr>
            <w:webHidden/>
          </w:rPr>
          <w:fldChar w:fldCharType="begin"/>
        </w:r>
        <w:r w:rsidR="00042A90">
          <w:rPr>
            <w:webHidden/>
          </w:rPr>
          <w:instrText xml:space="preserve"> PAGEREF _Toc224574197 \h </w:instrText>
        </w:r>
        <w:r w:rsidR="00042A90">
          <w:rPr>
            <w:webHidden/>
          </w:rPr>
        </w:r>
        <w:r w:rsidR="00042A90">
          <w:rPr>
            <w:webHidden/>
          </w:rPr>
          <w:fldChar w:fldCharType="separate"/>
        </w:r>
        <w:r w:rsidR="00042A90">
          <w:rPr>
            <w:webHidden/>
          </w:rPr>
          <w:t>13</w:t>
        </w:r>
        <w:r w:rsidR="00042A90">
          <w:rPr>
            <w:webHidden/>
          </w:rPr>
          <w:fldChar w:fldCharType="end"/>
        </w:r>
      </w:hyperlink>
    </w:p>
    <w:p w:rsidR="00042A90" w:rsidRDefault="00CD1E29">
      <w:pPr>
        <w:pStyle w:val="TM1"/>
        <w:rPr>
          <w:rFonts w:asciiTheme="minorHAnsi" w:eastAsiaTheme="minorEastAsia" w:hAnsiTheme="minorHAnsi" w:cstheme="minorBidi"/>
          <w:szCs w:val="22"/>
        </w:rPr>
      </w:pPr>
      <w:hyperlink w:anchor="_Toc224574198" w:history="1">
        <w:r w:rsidR="00042A90" w:rsidRPr="009F0B0A">
          <w:rPr>
            <w:rStyle w:val="Lienhypertexte"/>
          </w:rPr>
          <w:t>Les opérations de transferts entre sections – Chapitre 040  Dépenses : 489 000,00 € - Recettes : 2 706 000,00 €</w:t>
        </w:r>
        <w:r w:rsidR="00042A90">
          <w:rPr>
            <w:webHidden/>
          </w:rPr>
          <w:tab/>
        </w:r>
        <w:r w:rsidR="00042A90">
          <w:rPr>
            <w:webHidden/>
          </w:rPr>
          <w:fldChar w:fldCharType="begin"/>
        </w:r>
        <w:r w:rsidR="00042A90">
          <w:rPr>
            <w:webHidden/>
          </w:rPr>
          <w:instrText xml:space="preserve"> PAGEREF _Toc224574198 \h </w:instrText>
        </w:r>
        <w:r w:rsidR="00042A90">
          <w:rPr>
            <w:webHidden/>
          </w:rPr>
        </w:r>
        <w:r w:rsidR="00042A90">
          <w:rPr>
            <w:webHidden/>
          </w:rPr>
          <w:fldChar w:fldCharType="separate"/>
        </w:r>
        <w:r w:rsidR="00042A90">
          <w:rPr>
            <w:webHidden/>
          </w:rPr>
          <w:t>13</w:t>
        </w:r>
        <w:r w:rsidR="00042A90">
          <w:rPr>
            <w:webHidden/>
          </w:rPr>
          <w:fldChar w:fldCharType="end"/>
        </w:r>
      </w:hyperlink>
    </w:p>
    <w:p w:rsidR="00042A90" w:rsidRDefault="00CD1E29">
      <w:pPr>
        <w:pStyle w:val="TM1"/>
        <w:rPr>
          <w:rFonts w:asciiTheme="minorHAnsi" w:eastAsiaTheme="minorEastAsia" w:hAnsiTheme="minorHAnsi" w:cstheme="minorBidi"/>
          <w:szCs w:val="22"/>
        </w:rPr>
      </w:pPr>
      <w:hyperlink w:anchor="_Toc224574199" w:history="1">
        <w:r w:rsidR="00042A90" w:rsidRPr="009F0B0A">
          <w:rPr>
            <w:rStyle w:val="Lienhypertexte"/>
          </w:rPr>
          <w:t>Les opérations de patrimoniales – Chapitre 041 : 700 000,00€ en dépenses et en recettes</w:t>
        </w:r>
        <w:r w:rsidR="00042A90">
          <w:rPr>
            <w:webHidden/>
          </w:rPr>
          <w:tab/>
        </w:r>
        <w:r w:rsidR="00042A90">
          <w:rPr>
            <w:webHidden/>
          </w:rPr>
          <w:fldChar w:fldCharType="begin"/>
        </w:r>
        <w:r w:rsidR="00042A90">
          <w:rPr>
            <w:webHidden/>
          </w:rPr>
          <w:instrText xml:space="preserve"> PAGEREF _Toc224574199 \h </w:instrText>
        </w:r>
        <w:r w:rsidR="00042A90">
          <w:rPr>
            <w:webHidden/>
          </w:rPr>
        </w:r>
        <w:r w:rsidR="00042A90">
          <w:rPr>
            <w:webHidden/>
          </w:rPr>
          <w:fldChar w:fldCharType="separate"/>
        </w:r>
        <w:r w:rsidR="00042A90">
          <w:rPr>
            <w:webHidden/>
          </w:rPr>
          <w:t>13</w:t>
        </w:r>
        <w:r w:rsidR="00042A90">
          <w:rPr>
            <w:webHidden/>
          </w:rPr>
          <w:fldChar w:fldCharType="end"/>
        </w:r>
      </w:hyperlink>
    </w:p>
    <w:p w:rsidR="00042A90" w:rsidRDefault="00CD1E29">
      <w:pPr>
        <w:pStyle w:val="TM1"/>
        <w:rPr>
          <w:rFonts w:asciiTheme="minorHAnsi" w:eastAsiaTheme="minorEastAsia" w:hAnsiTheme="minorHAnsi" w:cstheme="minorBidi"/>
          <w:szCs w:val="22"/>
        </w:rPr>
      </w:pPr>
      <w:hyperlink w:anchor="_Toc224574200" w:history="1">
        <w:r w:rsidR="00042A90" w:rsidRPr="009F0B0A">
          <w:rPr>
            <w:rStyle w:val="Lienhypertexte"/>
          </w:rPr>
          <w:t>EQUILIBRE DU BUDGET 2026</w:t>
        </w:r>
        <w:r w:rsidR="00042A90">
          <w:rPr>
            <w:webHidden/>
          </w:rPr>
          <w:tab/>
        </w:r>
        <w:r w:rsidR="00042A90">
          <w:rPr>
            <w:webHidden/>
          </w:rPr>
          <w:fldChar w:fldCharType="begin"/>
        </w:r>
        <w:r w:rsidR="00042A90">
          <w:rPr>
            <w:webHidden/>
          </w:rPr>
          <w:instrText xml:space="preserve"> PAGEREF _Toc224574200 \h </w:instrText>
        </w:r>
        <w:r w:rsidR="00042A90">
          <w:rPr>
            <w:webHidden/>
          </w:rPr>
        </w:r>
        <w:r w:rsidR="00042A90">
          <w:rPr>
            <w:webHidden/>
          </w:rPr>
          <w:fldChar w:fldCharType="separate"/>
        </w:r>
        <w:r w:rsidR="00042A90">
          <w:rPr>
            <w:webHidden/>
          </w:rPr>
          <w:t>14</w:t>
        </w:r>
        <w:r w:rsidR="00042A90">
          <w:rPr>
            <w:webHidden/>
          </w:rPr>
          <w:fldChar w:fldCharType="end"/>
        </w:r>
      </w:hyperlink>
    </w:p>
    <w:p w:rsidR="00451F3B" w:rsidRPr="007227F7" w:rsidRDefault="00CC5263" w:rsidP="00925F4C">
      <w:pPr>
        <w:rPr>
          <w:highlight w:val="yellow"/>
        </w:rPr>
      </w:pPr>
      <w:r w:rsidRPr="007227F7">
        <w:rPr>
          <w:sz w:val="20"/>
          <w:highlight w:val="yellow"/>
        </w:rPr>
        <w:fldChar w:fldCharType="end"/>
      </w:r>
      <w:r w:rsidR="00B828B6" w:rsidRPr="007227F7">
        <w:rPr>
          <w:highlight w:val="yellow"/>
        </w:rPr>
        <w:br w:type="page"/>
      </w:r>
    </w:p>
    <w:p w:rsidR="00D875D1" w:rsidRPr="009C7D9D" w:rsidRDefault="00D875D1" w:rsidP="00925F4C">
      <w:pPr>
        <w:pStyle w:val="Titre"/>
      </w:pPr>
      <w:bookmarkStart w:id="0" w:name="_Toc224574159"/>
      <w:r w:rsidRPr="009C7D9D">
        <w:lastRenderedPageBreak/>
        <w:t>PRESENTATION SYNTHETIQUE</w:t>
      </w:r>
      <w:bookmarkEnd w:id="0"/>
    </w:p>
    <w:p w:rsidR="00D875D1" w:rsidRPr="009C7D9D" w:rsidRDefault="004F630E" w:rsidP="00925F4C">
      <w:r w:rsidRPr="009C7D9D">
        <w:t>Le budget primitif 202</w:t>
      </w:r>
      <w:r w:rsidR="003260CA" w:rsidRPr="009C7D9D">
        <w:t>6</w:t>
      </w:r>
      <w:r w:rsidRPr="009C7D9D">
        <w:t xml:space="preserve"> a été conçu dans l</w:t>
      </w:r>
      <w:r w:rsidR="007F0764" w:rsidRPr="009C7D9D">
        <w:t>e contexte et l</w:t>
      </w:r>
      <w:r w:rsidRPr="009C7D9D">
        <w:t xml:space="preserve">es perspectives qui ont été présentées lors du débat d’orientations budgétaires le </w:t>
      </w:r>
      <w:r w:rsidR="003260CA" w:rsidRPr="009C7D9D">
        <w:t>12</w:t>
      </w:r>
      <w:r w:rsidRPr="009C7D9D">
        <w:t xml:space="preserve"> février dernier.</w:t>
      </w:r>
    </w:p>
    <w:p w:rsidR="004F630E" w:rsidRPr="009C7D9D" w:rsidRDefault="004F630E" w:rsidP="00925F4C"/>
    <w:p w:rsidR="00D875D1" w:rsidRPr="009C7D9D" w:rsidRDefault="00EF272C" w:rsidP="00925F4C">
      <w:r w:rsidRPr="009C7D9D">
        <w:t>1</w:t>
      </w:r>
      <w:r w:rsidR="00BA5B4A" w:rsidRPr="009C7D9D">
        <w:t xml:space="preserve"> </w:t>
      </w:r>
      <w:r w:rsidR="00D875D1" w:rsidRPr="009C7D9D">
        <w:t>Le recours à l’emprunt</w:t>
      </w:r>
    </w:p>
    <w:p w:rsidR="004F630E" w:rsidRPr="009C7D9D" w:rsidRDefault="004F630E" w:rsidP="00925F4C">
      <w:r w:rsidRPr="009C7D9D">
        <w:t xml:space="preserve">Il est proposé de recourir à l’emprunt </w:t>
      </w:r>
      <w:r w:rsidR="003E5D4D" w:rsidRPr="009C7D9D">
        <w:t>en 202</w:t>
      </w:r>
      <w:r w:rsidR="008E40AD" w:rsidRPr="009C7D9D">
        <w:t>5</w:t>
      </w:r>
      <w:r w:rsidR="001F4500" w:rsidRPr="009C7D9D">
        <w:t xml:space="preserve"> à hauteur de </w:t>
      </w:r>
      <w:r w:rsidR="009C7D9D" w:rsidRPr="009C7D9D">
        <w:t>5</w:t>
      </w:r>
      <w:r w:rsidR="00CE2EE0">
        <w:t>,5</w:t>
      </w:r>
      <w:r w:rsidR="001F4500" w:rsidRPr="009C7D9D">
        <w:t xml:space="preserve"> millions d’euros</w:t>
      </w:r>
      <w:r w:rsidRPr="009C7D9D">
        <w:t xml:space="preserve"> alors que le remboursement </w:t>
      </w:r>
      <w:r w:rsidR="008942E4" w:rsidRPr="009C7D9D">
        <w:t xml:space="preserve">anticipé </w:t>
      </w:r>
      <w:r w:rsidRPr="009C7D9D">
        <w:t xml:space="preserve">du capital de la dette de l’exercice est de </w:t>
      </w:r>
      <w:r w:rsidR="009C7D9D" w:rsidRPr="009C7D9D">
        <w:t>2</w:t>
      </w:r>
      <w:r w:rsidR="001F4500" w:rsidRPr="009C7D9D">
        <w:t>,</w:t>
      </w:r>
      <w:r w:rsidR="00CE2EE0">
        <w:t>515</w:t>
      </w:r>
      <w:r w:rsidR="001F4500" w:rsidRPr="009C7D9D">
        <w:t xml:space="preserve"> €</w:t>
      </w:r>
      <w:r w:rsidRPr="009C7D9D">
        <w:t xml:space="preserve"> millions d’euros. </w:t>
      </w:r>
    </w:p>
    <w:p w:rsidR="004F630E" w:rsidRPr="009C7D9D" w:rsidRDefault="004F630E" w:rsidP="00925F4C">
      <w:r w:rsidRPr="009C7D9D">
        <w:t xml:space="preserve">L’encours total </w:t>
      </w:r>
      <w:r w:rsidR="001F4500" w:rsidRPr="009C7D9D">
        <w:t>augmentera</w:t>
      </w:r>
      <w:r w:rsidR="003E5D4D" w:rsidRPr="009C7D9D">
        <w:t xml:space="preserve"> </w:t>
      </w:r>
      <w:r w:rsidRPr="009C7D9D">
        <w:t xml:space="preserve">donc </w:t>
      </w:r>
      <w:r w:rsidR="001F4500" w:rsidRPr="009C7D9D">
        <w:t xml:space="preserve">de </w:t>
      </w:r>
      <w:r w:rsidR="009C7D9D" w:rsidRPr="009C7D9D">
        <w:t>2,</w:t>
      </w:r>
      <w:r w:rsidR="00CE2EE0">
        <w:t>985</w:t>
      </w:r>
      <w:r w:rsidR="009C7D9D" w:rsidRPr="009C7D9D">
        <w:t xml:space="preserve"> millions d’euros</w:t>
      </w:r>
      <w:r w:rsidRPr="009C7D9D">
        <w:t xml:space="preserve">. </w:t>
      </w:r>
    </w:p>
    <w:p w:rsidR="008942E4" w:rsidRPr="009C7D9D" w:rsidRDefault="008942E4" w:rsidP="00925F4C"/>
    <w:p w:rsidR="00D875D1" w:rsidRPr="009C7D9D" w:rsidRDefault="00EF272C" w:rsidP="00925F4C">
      <w:r w:rsidRPr="009C7D9D">
        <w:t>2</w:t>
      </w:r>
      <w:r w:rsidR="00D875D1" w:rsidRPr="009C7D9D">
        <w:t xml:space="preserve"> L’évolution des Impôts Directs</w:t>
      </w:r>
    </w:p>
    <w:p w:rsidR="001E53CF" w:rsidRPr="009C7D9D" w:rsidRDefault="004F630E" w:rsidP="00925F4C">
      <w:r w:rsidRPr="009C7D9D">
        <w:t xml:space="preserve">Le produit fiscal n’évoluera que par la seule revalorisation des bases de </w:t>
      </w:r>
      <w:r w:rsidR="008E40AD" w:rsidRPr="009C7D9D">
        <w:t>1.</w:t>
      </w:r>
      <w:r w:rsidR="009C7D9D" w:rsidRPr="009C7D9D">
        <w:t>3</w:t>
      </w:r>
      <w:r w:rsidRPr="009C7D9D">
        <w:t xml:space="preserve"> %, soit le dernier taux de l’inflation annuelle constatée pour les valeurs locatives rendu par l’Insee en novembre. Ce mécanisme de revalorisation </w:t>
      </w:r>
      <w:r w:rsidR="001E53CF" w:rsidRPr="009C7D9D">
        <w:t>ne s’appliquera qu’aux bases des taxes foncières.</w:t>
      </w:r>
    </w:p>
    <w:p w:rsidR="004F630E" w:rsidRPr="009C7D9D" w:rsidRDefault="00EF272C" w:rsidP="00925F4C">
      <w:r w:rsidRPr="009C7D9D">
        <w:t>Les taux d’impositions resteront inchangés</w:t>
      </w:r>
      <w:r w:rsidR="001E53CF" w:rsidRPr="009C7D9D">
        <w:t>.</w:t>
      </w:r>
    </w:p>
    <w:p w:rsidR="009C7D9D" w:rsidRPr="009C7D9D" w:rsidRDefault="009C7D9D" w:rsidP="00925F4C"/>
    <w:p w:rsidR="009C7D9D" w:rsidRPr="009C7D9D" w:rsidRDefault="009C7D9D" w:rsidP="00925F4C">
      <w:r w:rsidRPr="009C7D9D">
        <w:t>3 Autres éléments notables</w:t>
      </w:r>
    </w:p>
    <w:p w:rsidR="009C7D9D" w:rsidRPr="009C7D9D" w:rsidRDefault="009C7D9D" w:rsidP="00925F4C">
      <w:r w:rsidRPr="009C7D9D">
        <w:t>En raison d’une disposition de la loi de finances pour 2026, il est attendu une diminution 19,3% de la compensation de taxe foncière versée par l’Etat aux collectivités les dédommageant de l’exonération partielle de taxe foncière dont bénéficient les établissements industriels, soi</w:t>
      </w:r>
      <w:r w:rsidR="008F5125">
        <w:t>t</w:t>
      </w:r>
      <w:r w:rsidRPr="009C7D9D">
        <w:t xml:space="preserve"> un manque à gagner estimé à 234K€ pour 2026.</w:t>
      </w:r>
    </w:p>
    <w:p w:rsidR="008942E4" w:rsidRPr="007227F7" w:rsidRDefault="008942E4" w:rsidP="00925F4C">
      <w:pPr>
        <w:pStyle w:val="Corpsdetexte2"/>
        <w:rPr>
          <w:highlight w:val="yellow"/>
        </w:rPr>
      </w:pPr>
    </w:p>
    <w:p w:rsidR="00D875D1" w:rsidRPr="007227F7" w:rsidRDefault="00D875D1" w:rsidP="00925F4C">
      <w:pPr>
        <w:rPr>
          <w:highlight w:val="yellow"/>
        </w:rPr>
      </w:pPr>
    </w:p>
    <w:p w:rsidR="00165FB4" w:rsidRPr="007227F7" w:rsidRDefault="00165FB4" w:rsidP="00925F4C">
      <w:pPr>
        <w:pStyle w:val="Corpsdetexte2"/>
        <w:rPr>
          <w:highlight w:val="yellow"/>
        </w:rPr>
      </w:pPr>
    </w:p>
    <w:p w:rsidR="00BA287B" w:rsidRPr="007227F7" w:rsidRDefault="00D875D1" w:rsidP="00925F4C">
      <w:pPr>
        <w:rPr>
          <w:highlight w:val="yellow"/>
        </w:rPr>
      </w:pPr>
      <w:r w:rsidRPr="007227F7">
        <w:rPr>
          <w:highlight w:val="yellow"/>
        </w:rPr>
        <w:br w:type="page"/>
      </w:r>
    </w:p>
    <w:p w:rsidR="00BA287B" w:rsidRPr="009C7D9D" w:rsidRDefault="00BA287B" w:rsidP="00925F4C">
      <w:pPr>
        <w:pStyle w:val="Titre"/>
      </w:pPr>
      <w:bookmarkStart w:id="1" w:name="_Toc224574160"/>
      <w:r w:rsidRPr="009C7D9D">
        <w:lastRenderedPageBreak/>
        <w:t>SECTION DE FONCTIONNEMENT</w:t>
      </w:r>
      <w:bookmarkEnd w:id="1"/>
    </w:p>
    <w:p w:rsidR="003D2CEA" w:rsidRPr="009C7D9D" w:rsidRDefault="003D2CEA" w:rsidP="00003E99">
      <w:pPr>
        <w:pStyle w:val="Titre1"/>
      </w:pPr>
      <w:bookmarkStart w:id="2" w:name="_Toc224574161"/>
      <w:r w:rsidRPr="009C7D9D">
        <w:t>LES RECETTES</w:t>
      </w:r>
      <w:r w:rsidR="008730CE" w:rsidRPr="009C7D9D">
        <w:t xml:space="preserve"> DE FONCTIONNEMENT</w:t>
      </w:r>
      <w:bookmarkEnd w:id="2"/>
    </w:p>
    <w:p w:rsidR="003D2CEA" w:rsidRPr="009C7D9D" w:rsidRDefault="003D2CEA" w:rsidP="00925F4C">
      <w:pPr>
        <w:pStyle w:val="Titre2"/>
      </w:pPr>
      <w:bookmarkStart w:id="3" w:name="_Toc224574162"/>
      <w:r w:rsidRPr="009C7D9D">
        <w:t xml:space="preserve">Les atténuations de charges – Chapitre 013 : </w:t>
      </w:r>
      <w:r w:rsidR="003E5D4D" w:rsidRPr="009C7D9D">
        <w:t>4</w:t>
      </w:r>
      <w:r w:rsidR="00CE2EE0">
        <w:t>4</w:t>
      </w:r>
      <w:r w:rsidR="003E5D4D" w:rsidRPr="009C7D9D">
        <w:t>0</w:t>
      </w:r>
      <w:r w:rsidR="00C6084B" w:rsidRPr="009C7D9D">
        <w:t xml:space="preserve"> 00</w:t>
      </w:r>
      <w:r w:rsidR="00614953" w:rsidRPr="009C7D9D">
        <w:t>0,00</w:t>
      </w:r>
      <w:r w:rsidRPr="009C7D9D">
        <w:t>€</w:t>
      </w:r>
      <w:bookmarkEnd w:id="3"/>
    </w:p>
    <w:p w:rsidR="003D2CEA" w:rsidRPr="009C7D9D" w:rsidRDefault="003D2CEA" w:rsidP="00925F4C">
      <w:r w:rsidRPr="009C7D9D">
        <w:t xml:space="preserve">Ce chapitre retrace les </w:t>
      </w:r>
      <w:r w:rsidR="004A3830">
        <w:t xml:space="preserve">avoirs et les </w:t>
      </w:r>
      <w:r w:rsidRPr="009C7D9D">
        <w:t>remboursements sur rémunérations tels q</w:t>
      </w:r>
      <w:r w:rsidR="00BE6AA2" w:rsidRPr="009C7D9D">
        <w:t>ue les indemnités journal</w:t>
      </w:r>
      <w:r w:rsidR="001F4500" w:rsidRPr="009C7D9D">
        <w:t>ières versées par les assureurs</w:t>
      </w:r>
      <w:r w:rsidR="00E4097D" w:rsidRPr="009C7D9D">
        <w:t>.</w:t>
      </w:r>
      <w:r w:rsidR="001F4500" w:rsidRPr="009C7D9D">
        <w:t xml:space="preserve"> Le montant de cette inscription est </w:t>
      </w:r>
      <w:r w:rsidR="00CE2EE0">
        <w:t>augmenté</w:t>
      </w:r>
      <w:r w:rsidR="001F4500" w:rsidRPr="009C7D9D">
        <w:t xml:space="preserve"> en 202</w:t>
      </w:r>
      <w:r w:rsidR="009C7D9D">
        <w:t>6</w:t>
      </w:r>
      <w:r w:rsidR="001F4500" w:rsidRPr="009C7D9D">
        <w:t xml:space="preserve"> </w:t>
      </w:r>
      <w:r w:rsidR="00CE2EE0">
        <w:t>pour s’approcher des réalisations 2025</w:t>
      </w:r>
      <w:r w:rsidR="00003E99" w:rsidRPr="009C7D9D">
        <w:t xml:space="preserve"> </w:t>
      </w:r>
      <w:r w:rsidR="00815B5F">
        <w:t>(+</w:t>
      </w:r>
      <w:r w:rsidR="00CE2EE0">
        <w:t>3</w:t>
      </w:r>
      <w:r w:rsidR="001F4500" w:rsidRPr="009C7D9D">
        <w:t>0K€).</w:t>
      </w:r>
    </w:p>
    <w:p w:rsidR="003D2CEA" w:rsidRPr="007227F7" w:rsidRDefault="003D2CEA" w:rsidP="00925F4C">
      <w:pPr>
        <w:pStyle w:val="Titre2"/>
        <w:rPr>
          <w:highlight w:val="yellow"/>
        </w:rPr>
      </w:pPr>
      <w:bookmarkStart w:id="4" w:name="_Toc224574163"/>
      <w:r w:rsidRPr="00FF2206">
        <w:t>Les produits des services</w:t>
      </w:r>
      <w:r w:rsidR="00A50302" w:rsidRPr="00FF2206">
        <w:t>,</w:t>
      </w:r>
      <w:r w:rsidRPr="00FF2206">
        <w:t xml:space="preserve"> du domaine</w:t>
      </w:r>
      <w:r w:rsidR="00A50302" w:rsidRPr="00FF2206">
        <w:t>,</w:t>
      </w:r>
      <w:r w:rsidRPr="00FF2206">
        <w:t xml:space="preserve"> et ventes diverses– Chapitre 70 : </w:t>
      </w:r>
      <w:r w:rsidR="00FF2206" w:rsidRPr="00FF2206">
        <w:t>2 284 487,00 €</w:t>
      </w:r>
      <w:bookmarkEnd w:id="4"/>
    </w:p>
    <w:p w:rsidR="00AF0956" w:rsidRPr="00AF0956" w:rsidRDefault="00AF0956" w:rsidP="00AF0956">
      <w:r w:rsidRPr="00AF0956">
        <w:t>Ce chapitre regroupe, entre autres, les droits d’entrée dans les services publics, les produits relatifs à l’occupation ou à l’utilisation du domaine public, les concessions cimetière, les produits de la restauration. Ce chapitre regroupe également les frais refacturés dans le cadre de conventions avec le CCAS ou d’autres partenaires.</w:t>
      </w:r>
    </w:p>
    <w:p w:rsidR="00A14867" w:rsidRPr="00BE1C12" w:rsidRDefault="00A720E8" w:rsidP="00925F4C">
      <w:r w:rsidRPr="00BE1C12">
        <w:t>Le montant attendu pour 202</w:t>
      </w:r>
      <w:r w:rsidR="00BC5C05" w:rsidRPr="00BE1C12">
        <w:t>5</w:t>
      </w:r>
      <w:r w:rsidRPr="00BE1C12">
        <w:t xml:space="preserve"> </w:t>
      </w:r>
      <w:r w:rsidR="00CE2EE0" w:rsidRPr="00BE1C12">
        <w:t>est en retrait par rapport aux</w:t>
      </w:r>
      <w:r w:rsidR="009F1325" w:rsidRPr="00BE1C12">
        <w:t xml:space="preserve"> prévisions budgétaires </w:t>
      </w:r>
      <w:r w:rsidR="00414573" w:rsidRPr="00BE1C12">
        <w:t>pour 202</w:t>
      </w:r>
      <w:r w:rsidR="00CE2EE0" w:rsidRPr="00BE1C12">
        <w:t>5</w:t>
      </w:r>
      <w:r w:rsidR="007C7FD7" w:rsidRPr="00BE1C12">
        <w:t xml:space="preserve"> (2</w:t>
      </w:r>
      <w:r w:rsidR="00CE2EE0" w:rsidRPr="00BE1C12">
        <w:t>317</w:t>
      </w:r>
      <w:r w:rsidR="007C7FD7" w:rsidRPr="00BE1C12">
        <w:t>K€ en 20</w:t>
      </w:r>
      <w:r w:rsidR="00A16454" w:rsidRPr="00BE1C12">
        <w:t>24</w:t>
      </w:r>
      <w:r w:rsidR="007C7FD7" w:rsidRPr="00BE1C12">
        <w:t>, 2</w:t>
      </w:r>
      <w:r w:rsidR="00CE2EE0" w:rsidRPr="00BE1C12">
        <w:t>284</w:t>
      </w:r>
      <w:r w:rsidR="007C7FD7" w:rsidRPr="00BE1C12">
        <w:t>K€ en 202</w:t>
      </w:r>
      <w:r w:rsidR="00CE2EE0" w:rsidRPr="00BE1C12">
        <w:t>6</w:t>
      </w:r>
      <w:r w:rsidR="007C7FD7" w:rsidRPr="00BE1C12">
        <w:t>)</w:t>
      </w:r>
      <w:r w:rsidR="00271284" w:rsidRPr="00BE1C12">
        <w:t>.</w:t>
      </w:r>
      <w:r w:rsidR="009F1325" w:rsidRPr="00BE1C12">
        <w:t xml:space="preserve"> </w:t>
      </w:r>
    </w:p>
    <w:p w:rsidR="006A7C17" w:rsidRPr="00F17053" w:rsidRDefault="00A14867" w:rsidP="00925F4C">
      <w:r w:rsidRPr="00F17053">
        <w:t xml:space="preserve">S’agissant des produits des services, les prévisions s’établissent autour de </w:t>
      </w:r>
      <w:r w:rsidR="00F17053" w:rsidRPr="00F17053">
        <w:t>1692</w:t>
      </w:r>
      <w:r w:rsidR="001841B5" w:rsidRPr="00F17053">
        <w:t xml:space="preserve">K€, soit une </w:t>
      </w:r>
      <w:r w:rsidR="00F17053" w:rsidRPr="00F17053">
        <w:t>baisse</w:t>
      </w:r>
      <w:r w:rsidR="001841B5" w:rsidRPr="00F17053">
        <w:t xml:space="preserve"> de </w:t>
      </w:r>
      <w:r w:rsidR="00F17053" w:rsidRPr="00F17053">
        <w:t>28</w:t>
      </w:r>
      <w:r w:rsidRPr="00F17053">
        <w:t xml:space="preserve">K€ par rapport </w:t>
      </w:r>
      <w:r w:rsidR="008C4C41" w:rsidRPr="00F17053">
        <w:t xml:space="preserve">aux estimations </w:t>
      </w:r>
      <w:r w:rsidR="00F17053" w:rsidRPr="00F17053">
        <w:t xml:space="preserve">pour </w:t>
      </w:r>
      <w:r w:rsidR="008C4C41" w:rsidRPr="00F17053">
        <w:t>20</w:t>
      </w:r>
      <w:r w:rsidR="00F17053" w:rsidRPr="00F17053">
        <w:t xml:space="preserve">25, principalement sur les recettes </w:t>
      </w:r>
      <w:r w:rsidR="008C4C41" w:rsidRPr="00F17053">
        <w:t xml:space="preserve">des activités </w:t>
      </w:r>
      <w:r w:rsidRPr="00F17053">
        <w:t>périscolaires</w:t>
      </w:r>
      <w:r w:rsidR="008C4C41" w:rsidRPr="00F17053">
        <w:t>, extrascolaires et de restaura</w:t>
      </w:r>
      <w:r w:rsidR="00F17053" w:rsidRPr="00F17053">
        <w:t>tion scolaires,</w:t>
      </w:r>
      <w:r w:rsidR="008C4C41" w:rsidRPr="00F17053">
        <w:t xml:space="preserve"> pour suivre les </w:t>
      </w:r>
      <w:r w:rsidR="00852BF8" w:rsidRPr="00F17053">
        <w:t>réalisations</w:t>
      </w:r>
      <w:r w:rsidR="00F17053" w:rsidRPr="00F17053">
        <w:t xml:space="preserve"> 2025.</w:t>
      </w:r>
    </w:p>
    <w:p w:rsidR="002A6D00" w:rsidRPr="00F30C26" w:rsidRDefault="00414573" w:rsidP="00925F4C">
      <w:r w:rsidRPr="00F17053">
        <w:t xml:space="preserve">Les refacturations de la Ville à ses partenaires évoluent à la </w:t>
      </w:r>
      <w:r w:rsidR="00CE2EE0" w:rsidRPr="00F17053">
        <w:t xml:space="preserve">baisse en raison d’une réévaluation des dépenses </w:t>
      </w:r>
      <w:r w:rsidR="00CE2EE0" w:rsidRPr="00F30C26">
        <w:t xml:space="preserve">entrant dans le cadre du programme de réussite éducative sur </w:t>
      </w:r>
      <w:r w:rsidR="00BE1C12" w:rsidRPr="00F30C26">
        <w:t>le quartier prioritaire de la Ville</w:t>
      </w:r>
      <w:r w:rsidR="001841B5" w:rsidRPr="00F30C26">
        <w:t xml:space="preserve"> </w:t>
      </w:r>
      <w:r w:rsidR="00F17053" w:rsidRPr="00F30C26">
        <w:t>(-16</w:t>
      </w:r>
      <w:r w:rsidR="006A7C17" w:rsidRPr="00F30C26">
        <w:t>K€</w:t>
      </w:r>
      <w:r w:rsidR="001841B5" w:rsidRPr="00F30C26">
        <w:t>)</w:t>
      </w:r>
      <w:r w:rsidR="00A14867" w:rsidRPr="00F30C26">
        <w:t>.</w:t>
      </w:r>
    </w:p>
    <w:p w:rsidR="003D2CEA" w:rsidRPr="00F30C26" w:rsidRDefault="003D2CEA" w:rsidP="00925F4C">
      <w:pPr>
        <w:pStyle w:val="Titre2"/>
      </w:pPr>
      <w:bookmarkStart w:id="5" w:name="_Toc224574164"/>
      <w:r w:rsidRPr="00F30C26">
        <w:t xml:space="preserve">Les impôts </w:t>
      </w:r>
      <w:r w:rsidR="00A50302" w:rsidRPr="00F30C26">
        <w:t>et</w:t>
      </w:r>
      <w:r w:rsidRPr="00F30C26">
        <w:t xml:space="preserve"> taxes– Chapitre 73 : </w:t>
      </w:r>
      <w:r w:rsidR="00F17053" w:rsidRPr="00F30C26">
        <w:t>6 681 414,00 €</w:t>
      </w:r>
      <w:bookmarkEnd w:id="5"/>
    </w:p>
    <w:p w:rsidR="003D2CEA" w:rsidRPr="00F30C26" w:rsidRDefault="003D2CEA" w:rsidP="00925F4C">
      <w:r w:rsidRPr="00F30C26">
        <w:t>Ces recettes proviennent d</w:t>
      </w:r>
      <w:r w:rsidR="00EC4967" w:rsidRPr="00F30C26">
        <w:t>es</w:t>
      </w:r>
      <w:r w:rsidRPr="00F30C26">
        <w:t xml:space="preserve"> contribuab</w:t>
      </w:r>
      <w:r w:rsidR="00EC4967" w:rsidRPr="00F30C26">
        <w:t>les sottevillais</w:t>
      </w:r>
      <w:r w:rsidRPr="00F30C26">
        <w:t xml:space="preserve">. </w:t>
      </w:r>
      <w:r w:rsidR="00A50302" w:rsidRPr="00F30C26">
        <w:t xml:space="preserve"> Ce chapitre désigne </w:t>
      </w:r>
      <w:r w:rsidR="00BD0C92" w:rsidRPr="00F30C26">
        <w:t xml:space="preserve">principalement </w:t>
      </w:r>
      <w:r w:rsidR="00A50302" w:rsidRPr="00F30C26">
        <w:t xml:space="preserve">les recettes issues de la fiscalité </w:t>
      </w:r>
      <w:r w:rsidR="00BD0C92" w:rsidRPr="00F30C26">
        <w:t xml:space="preserve">dite </w:t>
      </w:r>
      <w:r w:rsidR="00A50302" w:rsidRPr="00F30C26">
        <w:t>reversée</w:t>
      </w:r>
      <w:r w:rsidR="00667B58" w:rsidRPr="00F30C26">
        <w:t> : en effet, les recettes fiscales liées à la fiscalité locale sont isolées dans un chapitre à part.</w:t>
      </w:r>
    </w:p>
    <w:p w:rsidR="00BD0C92" w:rsidRPr="007227F7" w:rsidRDefault="00BD0C92" w:rsidP="00925F4C">
      <w:pPr>
        <w:rPr>
          <w:highlight w:val="yellow"/>
        </w:rPr>
      </w:pPr>
      <w:r w:rsidRPr="00F30C26">
        <w:t xml:space="preserve">Les montants de fiscalité reversée </w:t>
      </w:r>
      <w:r w:rsidR="00F30C26" w:rsidRPr="00F30C26">
        <w:t>sont très stables dans le temps. Toutefois, le transfert de la piste d’athlétisme a entraîné une diminution de l’attribution de compensation (-17K€).</w:t>
      </w:r>
      <w:r w:rsidRPr="00F30C26">
        <w:t xml:space="preserve"> </w:t>
      </w:r>
      <w:r w:rsidR="00F30C26" w:rsidRPr="00F30C26">
        <w:t>En revanche,</w:t>
      </w:r>
      <w:r w:rsidRPr="00F30C26">
        <w:t xml:space="preserve"> il n’est pas attendu d’évolution </w:t>
      </w:r>
      <w:r w:rsidR="00F30C26" w:rsidRPr="00F30C26">
        <w:t>du</w:t>
      </w:r>
      <w:r w:rsidRPr="00F30C26">
        <w:t xml:space="preserve"> </w:t>
      </w:r>
      <w:proofErr w:type="spellStart"/>
      <w:r w:rsidR="008F5125">
        <w:t>du</w:t>
      </w:r>
      <w:proofErr w:type="spellEnd"/>
      <w:r w:rsidRPr="00F30C26">
        <w:t xml:space="preserve"> fonds national de garantie individuelle des ressources (164K€)</w:t>
      </w:r>
      <w:r w:rsidR="00F30C26" w:rsidRPr="00F30C26">
        <w:t xml:space="preserve">. Le </w:t>
      </w:r>
      <w:r w:rsidRPr="00F30C26">
        <w:t xml:space="preserve">Fonds de péréquation des ressources communales et intercommunales </w:t>
      </w:r>
      <w:r w:rsidR="00F30C26" w:rsidRPr="00F30C26">
        <w:t>est revu à la baisse pour suivre les réalisation</w:t>
      </w:r>
      <w:r w:rsidR="008F5125">
        <w:t>s</w:t>
      </w:r>
      <w:r w:rsidR="00F30C26" w:rsidRPr="00F30C26">
        <w:t xml:space="preserve"> 2025 </w:t>
      </w:r>
      <w:r w:rsidRPr="00F30C26">
        <w:t>(FPIC</w:t>
      </w:r>
      <w:r w:rsidR="00667B58" w:rsidRPr="00F30C26">
        <w:t>)</w:t>
      </w:r>
      <w:r w:rsidRPr="00F30C26">
        <w:t xml:space="preserve"> (</w:t>
      </w:r>
      <w:r w:rsidR="00F30C26" w:rsidRPr="00F30C26">
        <w:t xml:space="preserve">-27K€ soit </w:t>
      </w:r>
      <w:r w:rsidRPr="00F30C26">
        <w:t>4</w:t>
      </w:r>
      <w:r w:rsidR="00F30C26" w:rsidRPr="00F30C26">
        <w:t>33</w:t>
      </w:r>
      <w:r w:rsidRPr="00F30C26">
        <w:t>K€)</w:t>
      </w:r>
      <w:r w:rsidR="005B6B13" w:rsidRPr="00F30C26">
        <w:t>.</w:t>
      </w:r>
      <w:r w:rsidR="004B6894" w:rsidRPr="00F30C26">
        <w:t xml:space="preserve"> </w:t>
      </w:r>
      <w:r w:rsidR="00F30C26" w:rsidRPr="00F30C26">
        <w:t>L</w:t>
      </w:r>
      <w:r w:rsidR="004B6894" w:rsidRPr="00F30C26">
        <w:t>’inscription relative à la dotation d</w:t>
      </w:r>
      <w:r w:rsidR="00F30C26" w:rsidRPr="00F30C26">
        <w:t xml:space="preserve">e solidarité communautaires </w:t>
      </w:r>
      <w:r w:rsidR="004B6894" w:rsidRPr="00F30C26">
        <w:t xml:space="preserve">est </w:t>
      </w:r>
      <w:r w:rsidR="00F30C26" w:rsidRPr="00F30C26">
        <w:t xml:space="preserve">légèrement </w:t>
      </w:r>
      <w:r w:rsidR="004B6894" w:rsidRPr="00F30C26">
        <w:t xml:space="preserve">revue à la hausse </w:t>
      </w:r>
      <w:r w:rsidR="00B762B1" w:rsidRPr="00F30C26">
        <w:t xml:space="preserve">afin de prendre en compte </w:t>
      </w:r>
      <w:r w:rsidR="00F30C26" w:rsidRPr="00F30C26">
        <w:t xml:space="preserve">la dernière réévaluation reçue de la Métropole </w:t>
      </w:r>
      <w:r w:rsidR="00B762B1" w:rsidRPr="00F30C26">
        <w:t>(+</w:t>
      </w:r>
      <w:r w:rsidR="00F30C26" w:rsidRPr="00F30C26">
        <w:t>1</w:t>
      </w:r>
      <w:r w:rsidR="00B762B1" w:rsidRPr="00F30C26">
        <w:t>K€</w:t>
      </w:r>
      <w:r w:rsidR="00F30C26" w:rsidRPr="00F30C26">
        <w:t xml:space="preserve"> soit </w:t>
      </w:r>
      <w:r w:rsidR="00F30C26" w:rsidRPr="00F20B65">
        <w:t>559K€</w:t>
      </w:r>
      <w:r w:rsidR="00B762B1" w:rsidRPr="00F20B65">
        <w:t>).</w:t>
      </w:r>
    </w:p>
    <w:p w:rsidR="00BD0C92" w:rsidRPr="007227F7" w:rsidRDefault="00BD0C92" w:rsidP="00925F4C">
      <w:pPr>
        <w:rPr>
          <w:highlight w:val="yellow"/>
        </w:rPr>
      </w:pPr>
    </w:p>
    <w:p w:rsidR="00A50302" w:rsidRPr="00F20B65" w:rsidRDefault="00A50302" w:rsidP="00925F4C">
      <w:pPr>
        <w:pStyle w:val="Titre2"/>
      </w:pPr>
      <w:bookmarkStart w:id="6" w:name="_Toc224574165"/>
      <w:r w:rsidRPr="00F20B65">
        <w:t xml:space="preserve">Fiscalité locale – Chapitre 731 : </w:t>
      </w:r>
      <w:r w:rsidR="002D02AE" w:rsidRPr="00F20B65">
        <w:t xml:space="preserve">21 </w:t>
      </w:r>
      <w:r w:rsidR="00F20B65">
        <w:t>394 080</w:t>
      </w:r>
      <w:r w:rsidR="002D02AE" w:rsidRPr="00F20B65">
        <w:t xml:space="preserve">,00 </w:t>
      </w:r>
      <w:r w:rsidRPr="00F20B65">
        <w:t>€</w:t>
      </w:r>
      <w:bookmarkEnd w:id="6"/>
    </w:p>
    <w:p w:rsidR="00A50302" w:rsidRPr="00F20B65" w:rsidRDefault="00A50302" w:rsidP="00925F4C">
      <w:r w:rsidRPr="00F20B65">
        <w:t xml:space="preserve">Ce chapitre budgétaire </w:t>
      </w:r>
      <w:r w:rsidR="00B762B1" w:rsidRPr="00F20B65">
        <w:t>regroupe</w:t>
      </w:r>
      <w:r w:rsidRPr="00F20B65">
        <w:t xml:space="preserve"> </w:t>
      </w:r>
      <w:r w:rsidR="005B6B13" w:rsidRPr="00F20B65">
        <w:t xml:space="preserve">la fiscalité directe locale (Taxes foncières et taxes d’habitation principalement), les </w:t>
      </w:r>
      <w:r w:rsidR="00830BB7" w:rsidRPr="00F20B65">
        <w:t>droits de mutation</w:t>
      </w:r>
      <w:r w:rsidR="005B6B13" w:rsidRPr="00F20B65">
        <w:t xml:space="preserve">, la taxe sur la consommation finale d'électricité, les droits de place, la taxe sur la publicité extérieure. </w:t>
      </w:r>
    </w:p>
    <w:p w:rsidR="00BD0C92" w:rsidRPr="00F20B65" w:rsidRDefault="00BD0C92" w:rsidP="00925F4C">
      <w:r w:rsidRPr="00F20B65">
        <w:t xml:space="preserve">Comme cela a été indiqué lors du débat d’orientation budgétaire, le produit fiscal n’évoluera que par la seule revalorisation des bases de </w:t>
      </w:r>
      <w:r w:rsidR="00B762B1" w:rsidRPr="00F20B65">
        <w:t>1.</w:t>
      </w:r>
      <w:r w:rsidR="00F20B65" w:rsidRPr="00F20B65">
        <w:t>3</w:t>
      </w:r>
      <w:r w:rsidRPr="00F20B65">
        <w:t xml:space="preserve"> %, soit le dernier taux de l’inflation annuelle constatée pour les valeurs locatives rendu par l’Insee en novembre dernier. </w:t>
      </w:r>
      <w:r w:rsidR="00F20B65" w:rsidRPr="00F20B65">
        <w:t>Pour autant avec la réévaluation à la baisse des bases de tax</w:t>
      </w:r>
      <w:r w:rsidR="008F5125">
        <w:t>e</w:t>
      </w:r>
      <w:r w:rsidR="00F20B65" w:rsidRPr="00F20B65">
        <w:t xml:space="preserve"> d’habitation dans le courant 2025, l’inscription de la recette de fiscalité directe locale en 2026 n’évoluera par rapport à l’inscription initiale pour 2025 (-16K€ soit -0.08%). Ce montant</w:t>
      </w:r>
      <w:r w:rsidR="00966885" w:rsidRPr="00F20B65">
        <w:t xml:space="preserve"> </w:t>
      </w:r>
      <w:r w:rsidR="00F20B65" w:rsidRPr="00F20B65">
        <w:t>reste</w:t>
      </w:r>
      <w:r w:rsidR="00852BF8" w:rsidRPr="00F20B65">
        <w:t xml:space="preserve"> </w:t>
      </w:r>
      <w:r w:rsidR="00966885" w:rsidRPr="00F20B65">
        <w:t xml:space="preserve">estimatif car </w:t>
      </w:r>
      <w:r w:rsidR="008205D3" w:rsidRPr="00F20B65">
        <w:t>l</w:t>
      </w:r>
      <w:r w:rsidRPr="00F20B65">
        <w:t xml:space="preserve">a notification par les services de l’Etat de la fiscalité pour l’année à venir </w:t>
      </w:r>
      <w:r w:rsidR="00966885" w:rsidRPr="00F20B65">
        <w:t>n’</w:t>
      </w:r>
      <w:r w:rsidRPr="00F20B65">
        <w:t xml:space="preserve">est généralement reçue </w:t>
      </w:r>
      <w:r w:rsidR="00966885" w:rsidRPr="00F20B65">
        <w:t xml:space="preserve">que </w:t>
      </w:r>
      <w:r w:rsidRPr="00F20B65">
        <w:t xml:space="preserve">fin mars, soit à une date trop tardive pour permettre son inscription lors du vote initial du budget. </w:t>
      </w:r>
    </w:p>
    <w:p w:rsidR="00A50302" w:rsidRPr="00F20B65" w:rsidRDefault="00F20B65" w:rsidP="00925F4C">
      <w:r w:rsidRPr="00F20B65">
        <w:lastRenderedPageBreak/>
        <w:t xml:space="preserve">En </w:t>
      </w:r>
      <w:proofErr w:type="gramStart"/>
      <w:r w:rsidRPr="00F20B65">
        <w:t>revanche ,</w:t>
      </w:r>
      <w:proofErr w:type="gramEnd"/>
      <w:r w:rsidRPr="00F20B65">
        <w:t xml:space="preserve"> l</w:t>
      </w:r>
      <w:r w:rsidR="00BD0C92" w:rsidRPr="00F20B65">
        <w:t>’</w:t>
      </w:r>
      <w:r w:rsidR="008205D3" w:rsidRPr="00F20B65">
        <w:t>estimation</w:t>
      </w:r>
      <w:r w:rsidR="00BD0C92" w:rsidRPr="00F20B65">
        <w:t xml:space="preserve"> retenue pour les droits de mutation est revue à la </w:t>
      </w:r>
      <w:r w:rsidRPr="00F20B65">
        <w:t>hausse</w:t>
      </w:r>
      <w:r w:rsidR="00BD0C92" w:rsidRPr="00F20B65">
        <w:t xml:space="preserve"> </w:t>
      </w:r>
      <w:r w:rsidR="00901FC6" w:rsidRPr="00F20B65">
        <w:t>(</w:t>
      </w:r>
      <w:r w:rsidRPr="00F20B65">
        <w:t>+</w:t>
      </w:r>
      <w:r w:rsidR="00901FC6" w:rsidRPr="00F20B65">
        <w:t>10</w:t>
      </w:r>
      <w:r w:rsidR="008205D3" w:rsidRPr="00F20B65">
        <w:t>0</w:t>
      </w:r>
      <w:r w:rsidR="00BD0C92" w:rsidRPr="00F20B65">
        <w:t xml:space="preserve">K€), soit </w:t>
      </w:r>
      <w:r w:rsidRPr="00F20B65">
        <w:t>7</w:t>
      </w:r>
      <w:r w:rsidR="00901FC6" w:rsidRPr="00F20B65">
        <w:t xml:space="preserve">50K€ au regard des réalisations qui </w:t>
      </w:r>
      <w:r w:rsidRPr="00F20B65">
        <w:t>ont repris</w:t>
      </w:r>
      <w:r w:rsidR="00901FC6" w:rsidRPr="00F20B65">
        <w:t xml:space="preserve"> en 202</w:t>
      </w:r>
      <w:r w:rsidRPr="00F20B65">
        <w:t>5</w:t>
      </w:r>
      <w:r w:rsidR="00901FC6" w:rsidRPr="00F20B65">
        <w:t>.</w:t>
      </w:r>
      <w:r w:rsidR="00075829" w:rsidRPr="00F20B65">
        <w:t xml:space="preserve"> La TLPE est attendue stable</w:t>
      </w:r>
      <w:r w:rsidR="00937044" w:rsidRPr="00F20B65">
        <w:t xml:space="preserve"> soit 25K€</w:t>
      </w:r>
      <w:r w:rsidR="00075829" w:rsidRPr="00F20B65">
        <w:t>.</w:t>
      </w:r>
      <w:r w:rsidRPr="00F20B65">
        <w:t xml:space="preserve"> Les autres recettes sont inscrites à hauteur des réalisations 2025.</w:t>
      </w:r>
    </w:p>
    <w:p w:rsidR="00A50302" w:rsidRPr="007227F7" w:rsidRDefault="00A50302" w:rsidP="00925F4C">
      <w:pPr>
        <w:rPr>
          <w:highlight w:val="yellow"/>
        </w:rPr>
      </w:pPr>
    </w:p>
    <w:p w:rsidR="003D2CEA" w:rsidRPr="00965408" w:rsidRDefault="003D2CEA" w:rsidP="00925F4C">
      <w:pPr>
        <w:pStyle w:val="Titre2"/>
      </w:pPr>
      <w:bookmarkStart w:id="7" w:name="_Toc224574166"/>
      <w:r w:rsidRPr="00965408">
        <w:t xml:space="preserve">Les dotations &amp; participations– Chapitre 74 : </w:t>
      </w:r>
      <w:r w:rsidR="00367932">
        <w:t>8</w:t>
      </w:r>
      <w:r w:rsidR="00120E40" w:rsidRPr="00965408">
        <w:t xml:space="preserve"> </w:t>
      </w:r>
      <w:r w:rsidR="00965408" w:rsidRPr="00965408">
        <w:t>922</w:t>
      </w:r>
      <w:r w:rsidR="00120E40" w:rsidRPr="00965408">
        <w:t xml:space="preserve"> </w:t>
      </w:r>
      <w:r w:rsidR="00965408" w:rsidRPr="00965408">
        <w:t>010</w:t>
      </w:r>
      <w:r w:rsidR="00120E40" w:rsidRPr="00965408">
        <w:t>,00 €</w:t>
      </w:r>
      <w:bookmarkEnd w:id="7"/>
    </w:p>
    <w:p w:rsidR="003D2CEA" w:rsidRPr="007227F7" w:rsidRDefault="003D2CEA" w:rsidP="00925F4C">
      <w:pPr>
        <w:rPr>
          <w:highlight w:val="yellow"/>
        </w:rPr>
      </w:pPr>
      <w:r w:rsidRPr="00965408">
        <w:t xml:space="preserve">Ce </w:t>
      </w:r>
      <w:r w:rsidR="0025124C" w:rsidRPr="00965408">
        <w:t>chapitre budgétaire</w:t>
      </w:r>
      <w:r w:rsidRPr="00965408">
        <w:t xml:space="preserve"> retrace, d’une part, les versements reçus par la collectivité au titre des </w:t>
      </w:r>
      <w:r w:rsidRPr="00965408">
        <w:rPr>
          <w:b/>
        </w:rPr>
        <w:t>dotations de l’Etat</w:t>
      </w:r>
      <w:r w:rsidRPr="00965408">
        <w:t xml:space="preserve">, et, d’autre part, les </w:t>
      </w:r>
      <w:r w:rsidRPr="00965408">
        <w:rPr>
          <w:b/>
        </w:rPr>
        <w:t>participations reçues de divers tiers</w:t>
      </w:r>
      <w:r w:rsidRPr="00965408">
        <w:t>.</w:t>
      </w:r>
      <w:r w:rsidR="00AA43BC" w:rsidRPr="007227F7">
        <w:rPr>
          <w:highlight w:val="yellow"/>
        </w:rPr>
        <w:t xml:space="preserve"> </w:t>
      </w:r>
    </w:p>
    <w:p w:rsidR="003D2CEA" w:rsidRPr="00965408" w:rsidRDefault="003D2CEA" w:rsidP="00925F4C">
      <w:pPr>
        <w:rPr>
          <w:u w:val="single"/>
        </w:rPr>
      </w:pPr>
      <w:r w:rsidRPr="00965408">
        <w:rPr>
          <w:u w:val="single"/>
        </w:rPr>
        <w:t>Les dotations &amp; participations de l’Etat</w:t>
      </w:r>
    </w:p>
    <w:p w:rsidR="001E6257" w:rsidRPr="00965408" w:rsidRDefault="001E6257" w:rsidP="00925F4C">
      <w:r w:rsidRPr="00965408">
        <w:t>La loi de finances pour 202</w:t>
      </w:r>
      <w:r w:rsidR="00120E40" w:rsidRPr="00965408">
        <w:t>5</w:t>
      </w:r>
      <w:r w:rsidRPr="00965408">
        <w:t xml:space="preserve"> a statué sur la répartition des dotations de l’Etat, en premier lieu desquelles celles composant la Dotation Globale de Fonctionnement. </w:t>
      </w:r>
      <w:r w:rsidR="00120E40" w:rsidRPr="00965408">
        <w:t>L</w:t>
      </w:r>
      <w:r w:rsidR="00901FC6" w:rsidRPr="00965408">
        <w:t>a complexité du calcul de répartition des dotations ne permet pas d’établir avec certitude les montants à percevoir. L</w:t>
      </w:r>
      <w:r w:rsidR="00E31B21" w:rsidRPr="00965408">
        <w:t>e budget pour 202</w:t>
      </w:r>
      <w:r w:rsidR="00965408" w:rsidRPr="00965408">
        <w:t>6</w:t>
      </w:r>
      <w:r w:rsidR="00901FC6" w:rsidRPr="00965408">
        <w:t xml:space="preserve"> prévoit une reconduction des crédits reçues en 202</w:t>
      </w:r>
      <w:r w:rsidR="00965408" w:rsidRPr="00965408">
        <w:t>5</w:t>
      </w:r>
      <w:r w:rsidR="00901FC6" w:rsidRPr="00965408">
        <w:t xml:space="preserve">, </w:t>
      </w:r>
      <w:r w:rsidR="00E31B21" w:rsidRPr="00965408">
        <w:t xml:space="preserve">soit </w:t>
      </w:r>
      <w:r w:rsidR="00965408" w:rsidRPr="00965408">
        <w:t>5 682K</w:t>
      </w:r>
      <w:r w:rsidR="00830BB7" w:rsidRPr="00965408">
        <w:t>€</w:t>
      </w:r>
      <w:r w:rsidR="00E31B21" w:rsidRPr="00965408">
        <w:t>.</w:t>
      </w:r>
    </w:p>
    <w:p w:rsidR="002B1AED" w:rsidRPr="00FA5F84" w:rsidRDefault="00244C7F" w:rsidP="00925F4C">
      <w:r w:rsidRPr="00FA5F84">
        <w:t xml:space="preserve">Les compensations fiscales perçues au titre des exonérations décidées par le gouvernement devraient se traduire par </w:t>
      </w:r>
      <w:r w:rsidR="00965408" w:rsidRPr="00FA5F84">
        <w:t xml:space="preserve">une baisse marquée </w:t>
      </w:r>
      <w:r w:rsidR="00FA5F84">
        <w:t xml:space="preserve">(-16%) </w:t>
      </w:r>
      <w:r w:rsidR="00965408" w:rsidRPr="00FA5F84">
        <w:t>des</w:t>
      </w:r>
      <w:r w:rsidRPr="00FA5F84">
        <w:t xml:space="preserve"> recettes </w:t>
      </w:r>
      <w:r w:rsidR="00965408" w:rsidRPr="00FA5F84">
        <w:t>en raison des dispositions votée en loi de finances pour 2026 : -216K€.</w:t>
      </w:r>
      <w:r w:rsidR="00FA5F84" w:rsidRPr="00FA5F84">
        <w:t xml:space="preserve"> De même, les montants des différents dispositifs mis en place pour compenser la disparition de taxe professionnelle en 2010 sont en diminution, sans qu’il soit possible d’évaluer avec précision les montants à attendre pour 2026</w:t>
      </w:r>
    </w:p>
    <w:p w:rsidR="00445F98" w:rsidRPr="00FA5F84" w:rsidRDefault="00FA5F84" w:rsidP="00925F4C">
      <w:r w:rsidRPr="00FA5F84">
        <w:t>L</w:t>
      </w:r>
      <w:r w:rsidR="006C1603" w:rsidRPr="00FA5F84">
        <w:t xml:space="preserve">es autres dotations </w:t>
      </w:r>
      <w:r w:rsidRPr="00FA5F84">
        <w:t xml:space="preserve">sont attendues dans des niveaux similaires aux </w:t>
      </w:r>
      <w:r>
        <w:t>prévisions</w:t>
      </w:r>
      <w:r w:rsidRPr="00FA5F84">
        <w:t xml:space="preserve"> pour 2025</w:t>
      </w:r>
      <w:r w:rsidR="002B1AED" w:rsidRPr="00FA5F84">
        <w:t xml:space="preserve">. </w:t>
      </w:r>
    </w:p>
    <w:p w:rsidR="007B5C0F" w:rsidRPr="00965408" w:rsidRDefault="007B5C0F" w:rsidP="00925F4C"/>
    <w:bookmarkStart w:id="8" w:name="_MON_1706797459"/>
    <w:bookmarkEnd w:id="8"/>
    <w:p w:rsidR="00445F98" w:rsidRPr="00965408" w:rsidRDefault="008F5125" w:rsidP="00925F4C">
      <w:r w:rsidRPr="00965408">
        <w:object w:dxaOrig="9879" w:dyaOrig="6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1pt;height:341.6pt" o:ole="">
            <v:imagedata r:id="rId12" o:title=""/>
          </v:shape>
          <o:OLEObject Type="Embed" ProgID="Excel.Sheet.12" ShapeID="_x0000_i1025" DrawAspect="Content" ObjectID="_1836195768" r:id="rId13"/>
        </w:object>
      </w:r>
    </w:p>
    <w:p w:rsidR="003D2CEA" w:rsidRPr="00FA5F84" w:rsidRDefault="00852BF8" w:rsidP="007B5C0F">
      <w:pPr>
        <w:pStyle w:val="Corpsdetexte"/>
        <w:keepNext/>
        <w:rPr>
          <w:sz w:val="22"/>
          <w:u w:val="single"/>
        </w:rPr>
      </w:pPr>
      <w:r w:rsidRPr="007227F7">
        <w:rPr>
          <w:sz w:val="22"/>
          <w:highlight w:val="yellow"/>
          <w:u w:val="single"/>
        </w:rPr>
        <w:lastRenderedPageBreak/>
        <w:br/>
      </w:r>
      <w:r w:rsidR="003D2CEA" w:rsidRPr="00FA5F84">
        <w:rPr>
          <w:sz w:val="22"/>
          <w:u w:val="single"/>
        </w:rPr>
        <w:t>Les participations reçues de divers tiers</w:t>
      </w:r>
    </w:p>
    <w:p w:rsidR="003D2CEA" w:rsidRPr="00EA5F5D" w:rsidRDefault="003D2CEA" w:rsidP="007B5C0F">
      <w:pPr>
        <w:keepNext/>
      </w:pPr>
      <w:r w:rsidRPr="00FA5F84">
        <w:t>Elles proviennent</w:t>
      </w:r>
      <w:r w:rsidR="00227861" w:rsidRPr="00FA5F84">
        <w:t>,</w:t>
      </w:r>
      <w:r w:rsidRPr="00FA5F84">
        <w:t xml:space="preserve"> d’une part, de nos partenaires institutionnels (Région, Département, Communes, Métropole) qui ont été sollicités pour apporter leur soutien financier pour les diverses manifestations organisées par la Ville</w:t>
      </w:r>
      <w:r w:rsidR="00227861" w:rsidRPr="00FA5F84">
        <w:t>, ou avec lesquels sont établies des conventions de partenariat,</w:t>
      </w:r>
      <w:r w:rsidRPr="00FA5F84">
        <w:t xml:space="preserve"> et, d’autre part, des participations de la CAF</w:t>
      </w:r>
      <w:r w:rsidR="00E75B58" w:rsidRPr="00FA5F84">
        <w:t xml:space="preserve"> </w:t>
      </w:r>
      <w:r w:rsidRPr="00FA5F84">
        <w:t>consécutives à des engagements conclus avec la Ville (contrat enfance jeunesse, prestations ordin</w:t>
      </w:r>
      <w:r w:rsidR="00830BB7" w:rsidRPr="00FA5F84">
        <w:t>aires</w:t>
      </w:r>
      <w:r w:rsidRPr="00FA5F84">
        <w:t>)</w:t>
      </w:r>
      <w:r w:rsidR="00FA5F84">
        <w:t xml:space="preserve">ainsi que, </w:t>
      </w:r>
      <w:r w:rsidR="00FA5F84" w:rsidRPr="00EA5F5D">
        <w:t>désormais, celles d’éco-organismes et de mécènes, dans le cadre de Vivacité</w:t>
      </w:r>
      <w:r w:rsidRPr="00EA5F5D">
        <w:t>.</w:t>
      </w:r>
    </w:p>
    <w:p w:rsidR="003B4406" w:rsidRPr="00EA5F5D" w:rsidRDefault="003B4406" w:rsidP="00925F4C">
      <w:r w:rsidRPr="00EA5F5D">
        <w:t xml:space="preserve">S’agissant des collectivités, </w:t>
      </w:r>
      <w:r w:rsidR="00227861" w:rsidRPr="00EA5F5D">
        <w:t>pour 202</w:t>
      </w:r>
      <w:r w:rsidR="001F74FE" w:rsidRPr="00EA5F5D">
        <w:t>5</w:t>
      </w:r>
      <w:r w:rsidR="00227861" w:rsidRPr="00EA5F5D">
        <w:t>, les conventions de partenariat établies avec la Région devraient engendrer des recettes similaires aux réalisations en 202</w:t>
      </w:r>
      <w:r w:rsidR="00FA5F84" w:rsidRPr="00EA5F5D">
        <w:t>5</w:t>
      </w:r>
      <w:r w:rsidR="00075D3E" w:rsidRPr="00EA5F5D">
        <w:t>, soit 4</w:t>
      </w:r>
      <w:r w:rsidR="00FA5F84" w:rsidRPr="00EA5F5D">
        <w:t>3</w:t>
      </w:r>
      <w:r w:rsidR="00075D3E" w:rsidRPr="00EA5F5D">
        <w:t>K€</w:t>
      </w:r>
      <w:r w:rsidR="00361E07" w:rsidRPr="00EA5F5D">
        <w:t xml:space="preserve">. </w:t>
      </w:r>
      <w:r w:rsidR="00075D3E" w:rsidRPr="00EA5F5D">
        <w:t xml:space="preserve">S’agissant du département, </w:t>
      </w:r>
      <w:r w:rsidR="001F74FE" w:rsidRPr="00EA5F5D">
        <w:t xml:space="preserve">la somme est estimée à </w:t>
      </w:r>
      <w:r w:rsidR="00FA5F84" w:rsidRPr="00EA5F5D">
        <w:t>26</w:t>
      </w:r>
      <w:r w:rsidR="001F74FE" w:rsidRPr="00EA5F5D">
        <w:t>K€</w:t>
      </w:r>
      <w:r w:rsidR="00075D3E" w:rsidRPr="00EA5F5D">
        <w:t>.</w:t>
      </w:r>
    </w:p>
    <w:p w:rsidR="001B4E53" w:rsidRPr="00EA5F5D" w:rsidRDefault="004227E9" w:rsidP="00925F4C">
      <w:r w:rsidRPr="00EA5F5D">
        <w:t>Les sommes attendue</w:t>
      </w:r>
      <w:r w:rsidR="00361E07" w:rsidRPr="00EA5F5D">
        <w:t>s</w:t>
      </w:r>
      <w:r w:rsidRPr="00EA5F5D">
        <w:t xml:space="preserve"> de</w:t>
      </w:r>
      <w:r w:rsidR="001F74FE" w:rsidRPr="00EA5F5D">
        <w:t>s autres partenaires de la Ville, principalement</w:t>
      </w:r>
      <w:r w:rsidRPr="00EA5F5D">
        <w:t xml:space="preserve"> la CAF</w:t>
      </w:r>
      <w:r w:rsidR="001F74FE" w:rsidRPr="00EA5F5D">
        <w:t xml:space="preserve">, sont attendues en </w:t>
      </w:r>
      <w:r w:rsidR="00EA5F5D">
        <w:t>retrait</w:t>
      </w:r>
      <w:r w:rsidR="001F74FE" w:rsidRPr="00EA5F5D">
        <w:t xml:space="preserve"> en 202</w:t>
      </w:r>
      <w:r w:rsidR="00FA5F84" w:rsidRPr="00EA5F5D">
        <w:t>6</w:t>
      </w:r>
      <w:r w:rsidR="001F74FE" w:rsidRPr="00EA5F5D">
        <w:t xml:space="preserve"> par rapport au budget 202</w:t>
      </w:r>
      <w:r w:rsidR="00EA5F5D">
        <w:t>5</w:t>
      </w:r>
      <w:r w:rsidR="001F74FE" w:rsidRPr="00EA5F5D">
        <w:t xml:space="preserve"> </w:t>
      </w:r>
      <w:r w:rsidR="00EA5F5D">
        <w:t>(-5</w:t>
      </w:r>
      <w:r w:rsidR="001F74FE" w:rsidRPr="00EA5F5D">
        <w:t>%).</w:t>
      </w:r>
      <w:r w:rsidRPr="00EA5F5D">
        <w:t xml:space="preserve"> </w:t>
      </w:r>
    </w:p>
    <w:p w:rsidR="001B4E53" w:rsidRPr="00EA5F5D" w:rsidRDefault="001F74FE" w:rsidP="00925F4C">
      <w:r w:rsidRPr="00EA5F5D">
        <w:t xml:space="preserve">Le montant attendu de la CAF est </w:t>
      </w:r>
      <w:r w:rsidR="00EA5F5D" w:rsidRPr="00EA5F5D">
        <w:t>attendu en retrait au regard des réalisations 2025</w:t>
      </w:r>
      <w:r w:rsidRPr="00EA5F5D">
        <w:t> : la majeure partie des recettes de la CAF peuvent être évaluées en amont et dépendent de la fréquentation ; en revanche, il est bien plus complexe d’évaluer les bonifications liées aux caractéristiques sociales des usagers, ce qui explique ce décalage entre les prévisions et les réalisations.</w:t>
      </w:r>
    </w:p>
    <w:p w:rsidR="003B4406" w:rsidRPr="00EA5F5D" w:rsidRDefault="001B4E53" w:rsidP="00925F4C">
      <w:r w:rsidRPr="00EA5F5D">
        <w:t xml:space="preserve">Enfin, il est à noter l’inscription de recettes à hauteur de 123K€ relatives au projet de contractualisation avec l’éco-organisme </w:t>
      </w:r>
      <w:proofErr w:type="spellStart"/>
      <w:r w:rsidRPr="00EA5F5D">
        <w:t>Alcome</w:t>
      </w:r>
      <w:proofErr w:type="spellEnd"/>
      <w:r w:rsidRPr="00EA5F5D">
        <w:t xml:space="preserve"> qui valorise la collecte des mégots de cigarette</w:t>
      </w:r>
      <w:r w:rsidR="002838F2" w:rsidRPr="00EA5F5D">
        <w:t xml:space="preserve">. </w:t>
      </w:r>
    </w:p>
    <w:p w:rsidR="003D2CEA" w:rsidRPr="00EA5F5D" w:rsidRDefault="003D2CEA" w:rsidP="00925F4C">
      <w:pPr>
        <w:pStyle w:val="Titre2"/>
      </w:pPr>
      <w:bookmarkStart w:id="9" w:name="_Toc224574167"/>
      <w:r w:rsidRPr="00EA5F5D">
        <w:t xml:space="preserve">Les autres produits de gestion courante– Chapitre 75 : </w:t>
      </w:r>
      <w:r w:rsidR="00EA5F5D" w:rsidRPr="00EA5F5D">
        <w:t>64 400</w:t>
      </w:r>
      <w:r w:rsidRPr="00EA5F5D">
        <w:t>€</w:t>
      </w:r>
      <w:bookmarkEnd w:id="9"/>
    </w:p>
    <w:p w:rsidR="00FF0C34" w:rsidRPr="00EA5F5D" w:rsidRDefault="003D2CEA" w:rsidP="00925F4C">
      <w:r w:rsidRPr="00EA5F5D">
        <w:t>Ils comprennent notamment la perception de revenus et redevances diverses provenant des locations de bâtiments et de terrains appartenant à la Ville et mis à disposition de différe</w:t>
      </w:r>
      <w:r w:rsidR="006805C8" w:rsidRPr="00EA5F5D">
        <w:t xml:space="preserve">nts </w:t>
      </w:r>
      <w:r w:rsidR="00852BF8" w:rsidRPr="00EA5F5D">
        <w:t>tiers</w:t>
      </w:r>
      <w:r w:rsidR="006805C8" w:rsidRPr="00EA5F5D">
        <w:t>.</w:t>
      </w:r>
      <w:r w:rsidR="00FF0C34" w:rsidRPr="00EA5F5D">
        <w:t xml:space="preserve"> </w:t>
      </w:r>
    </w:p>
    <w:p w:rsidR="003D2CEA" w:rsidRPr="00EA5F5D" w:rsidRDefault="003D2CEA" w:rsidP="00925F4C">
      <w:pPr>
        <w:pStyle w:val="Titre2"/>
      </w:pPr>
      <w:bookmarkStart w:id="10" w:name="_Toc224574168"/>
      <w:r w:rsidRPr="00EA5F5D">
        <w:t xml:space="preserve">Les produits financiers – Chapitre 76 : </w:t>
      </w:r>
      <w:r w:rsidR="00EA5F5D" w:rsidRPr="00EA5F5D">
        <w:t>7 901</w:t>
      </w:r>
      <w:r w:rsidR="00FF0C34" w:rsidRPr="00EA5F5D">
        <w:t>,00</w:t>
      </w:r>
      <w:r w:rsidRPr="00EA5F5D">
        <w:t>€</w:t>
      </w:r>
      <w:bookmarkEnd w:id="10"/>
    </w:p>
    <w:p w:rsidR="003D2CEA" w:rsidRPr="00EA5F5D" w:rsidRDefault="003D2CEA" w:rsidP="00925F4C">
      <w:r w:rsidRPr="00EA5F5D">
        <w:t>Ce montant de recettes est constitué de la quote-part des intérêts que la Métropole</w:t>
      </w:r>
      <w:r w:rsidR="00203EDE" w:rsidRPr="00EA5F5D">
        <w:t xml:space="preserve"> reverse</w:t>
      </w:r>
      <w:r w:rsidRPr="00EA5F5D">
        <w:t xml:space="preserve"> à la commune suite aux transferts de compétences.</w:t>
      </w:r>
      <w:r w:rsidR="00EA5F5D" w:rsidRPr="00EA5F5D">
        <w:t xml:space="preserve"> Elle diminue d’année en année et cessera à l’issue de l’exercice 2029</w:t>
      </w:r>
      <w:r w:rsidR="00EA5F5D">
        <w:t>.</w:t>
      </w:r>
    </w:p>
    <w:p w:rsidR="003D2CEA" w:rsidRPr="00EA5F5D" w:rsidRDefault="003D2CEA" w:rsidP="00925F4C">
      <w:pPr>
        <w:pStyle w:val="Titre2"/>
      </w:pPr>
      <w:bookmarkStart w:id="11" w:name="_Toc224574169"/>
      <w:r w:rsidRPr="00EA5F5D">
        <w:t xml:space="preserve">Les produits exceptionnels – Chapitre 77 : </w:t>
      </w:r>
      <w:r w:rsidR="001B4E53" w:rsidRPr="00EA5F5D">
        <w:t>2</w:t>
      </w:r>
      <w:r w:rsidR="00EA5F5D" w:rsidRPr="00EA5F5D">
        <w:t>1</w:t>
      </w:r>
      <w:r w:rsidR="004C09DC" w:rsidRPr="00EA5F5D">
        <w:t>0 000</w:t>
      </w:r>
      <w:r w:rsidR="007A063C" w:rsidRPr="00EA5F5D">
        <w:t>,00</w:t>
      </w:r>
      <w:r w:rsidRPr="00EA5F5D">
        <w:t>€</w:t>
      </w:r>
      <w:bookmarkEnd w:id="11"/>
    </w:p>
    <w:p w:rsidR="001B4E53" w:rsidRPr="00EA5F5D" w:rsidRDefault="003151CE" w:rsidP="00925F4C">
      <w:r w:rsidRPr="00EA5F5D">
        <w:t>Les recettes de ce chapitre sont constituées des</w:t>
      </w:r>
      <w:r w:rsidR="003D2CEA" w:rsidRPr="00EA5F5D">
        <w:t xml:space="preserve"> indemnités de sinistre </w:t>
      </w:r>
      <w:r w:rsidR="00504BEF" w:rsidRPr="00EA5F5D">
        <w:t xml:space="preserve">ou </w:t>
      </w:r>
      <w:r w:rsidR="00AF2448" w:rsidRPr="00EA5F5D">
        <w:t>diverses opérations comptables.</w:t>
      </w:r>
      <w:r w:rsidR="00FF0C34" w:rsidRPr="00EA5F5D">
        <w:t xml:space="preserve"> </w:t>
      </w:r>
    </w:p>
    <w:p w:rsidR="00EA5F5D" w:rsidRPr="00EA5F5D" w:rsidRDefault="001B4E53" w:rsidP="00925F4C">
      <w:r w:rsidRPr="00EA5F5D">
        <w:t>La somme de 2</w:t>
      </w:r>
      <w:r w:rsidR="00EA5F5D" w:rsidRPr="00EA5F5D">
        <w:t>1</w:t>
      </w:r>
      <w:r w:rsidR="003500AA" w:rsidRPr="00EA5F5D">
        <w:t>0</w:t>
      </w:r>
      <w:r w:rsidRPr="00EA5F5D">
        <w:t> 000€ est inscrite afin de prendre en compte les remboursements effectués dans le cadre du contrat de chauffage</w:t>
      </w:r>
      <w:r w:rsidR="003500AA" w:rsidRPr="00EA5F5D">
        <w:t>.</w:t>
      </w:r>
      <w:r w:rsidRPr="00EA5F5D">
        <w:t xml:space="preserve"> </w:t>
      </w:r>
      <w:r w:rsidR="003500AA" w:rsidRPr="00EA5F5D">
        <w:t>En effet, l</w:t>
      </w:r>
      <w:r w:rsidRPr="00EA5F5D">
        <w:t xml:space="preserve">e titulaire évalue une consommation annuelle de gaz dont le montant est estimé à partir de l’indice des prix du </w:t>
      </w:r>
      <w:r w:rsidR="003500AA" w:rsidRPr="00EA5F5D">
        <w:t>mois de janvier</w:t>
      </w:r>
      <w:r w:rsidRPr="00EA5F5D">
        <w:t>.</w:t>
      </w:r>
      <w:r w:rsidR="003500AA" w:rsidRPr="00EA5F5D">
        <w:t xml:space="preserve"> En début d’exercice suivant, il rembourse au regard des consommations et du prix réel de la molécule.</w:t>
      </w:r>
      <w:r w:rsidRPr="00EA5F5D">
        <w:t xml:space="preserve"> </w:t>
      </w:r>
      <w:r w:rsidR="003500AA" w:rsidRPr="00EA5F5D">
        <w:t>Cette somme correspond donc au remboursement au regard des consommations et du prix réel pour 202</w:t>
      </w:r>
      <w:r w:rsidR="00EA5F5D" w:rsidRPr="00EA5F5D">
        <w:t>5</w:t>
      </w:r>
      <w:r w:rsidR="003500AA" w:rsidRPr="00EA5F5D">
        <w:t xml:space="preserve">. </w:t>
      </w:r>
    </w:p>
    <w:p w:rsidR="00BA5B4A" w:rsidRPr="00EA5F5D" w:rsidRDefault="00FF0C34" w:rsidP="00925F4C">
      <w:r w:rsidRPr="00EA5F5D">
        <w:t>Il est à noter que l</w:t>
      </w:r>
      <w:r w:rsidR="00504BEF" w:rsidRPr="00EA5F5D">
        <w:t xml:space="preserve">es cessions de patrimoine sont </w:t>
      </w:r>
      <w:r w:rsidRPr="00EA5F5D">
        <w:t xml:space="preserve">budgétairement </w:t>
      </w:r>
      <w:r w:rsidR="00504BEF" w:rsidRPr="00EA5F5D">
        <w:t>inscrites dans un chapitre budgétaire spécifique en investissement</w:t>
      </w:r>
      <w:r w:rsidRPr="00EA5F5D">
        <w:t xml:space="preserve"> mais seront comptablement réalisées sur celui-ci</w:t>
      </w:r>
      <w:r w:rsidR="00504BEF" w:rsidRPr="00EA5F5D">
        <w:t>.</w:t>
      </w:r>
      <w:r w:rsidRPr="00EA5F5D">
        <w:t xml:space="preserve"> Cette particularité vise à éviter que la vente de patrimoine serve à équilibrer la section de fonctionnement du budget.</w:t>
      </w:r>
    </w:p>
    <w:p w:rsidR="00614953" w:rsidRPr="00EA5F5D" w:rsidRDefault="00614953" w:rsidP="00003E99">
      <w:pPr>
        <w:pStyle w:val="Titre1"/>
      </w:pPr>
      <w:bookmarkStart w:id="12" w:name="_Toc224574170"/>
      <w:r w:rsidRPr="00EA5F5D">
        <w:t xml:space="preserve">Résultat de fonctionnement antérieur reporté – Chapitre 002 : </w:t>
      </w:r>
      <w:r w:rsidR="001E0190" w:rsidRPr="00EA5F5D">
        <w:br/>
      </w:r>
      <w:r w:rsidR="00EA5F5D" w:rsidRPr="00EA5F5D">
        <w:t>8 579 337,05 €</w:t>
      </w:r>
      <w:bookmarkEnd w:id="12"/>
    </w:p>
    <w:p w:rsidR="001C3202" w:rsidRPr="007227F7" w:rsidRDefault="001C3202" w:rsidP="00925F4C">
      <w:pPr>
        <w:rPr>
          <w:highlight w:val="yellow"/>
        </w:rPr>
      </w:pPr>
    </w:p>
    <w:p w:rsidR="001C3202" w:rsidRPr="007227F7" w:rsidRDefault="001C3202" w:rsidP="00925F4C">
      <w:pPr>
        <w:rPr>
          <w:highlight w:val="yellow"/>
        </w:rPr>
      </w:pPr>
    </w:p>
    <w:p w:rsidR="001C3202" w:rsidRPr="007227F7" w:rsidRDefault="001C3202" w:rsidP="00925F4C">
      <w:pPr>
        <w:rPr>
          <w:highlight w:val="yellow"/>
        </w:rPr>
      </w:pPr>
    </w:p>
    <w:p w:rsidR="001C3202" w:rsidRPr="007227F7" w:rsidRDefault="001C3202" w:rsidP="00925F4C">
      <w:pPr>
        <w:rPr>
          <w:highlight w:val="yellow"/>
        </w:rPr>
      </w:pPr>
    </w:p>
    <w:p w:rsidR="005843BF" w:rsidRPr="006F6D72" w:rsidRDefault="005843BF" w:rsidP="00003E99">
      <w:pPr>
        <w:pStyle w:val="Titre1"/>
      </w:pPr>
      <w:bookmarkStart w:id="13" w:name="_Toc224574171"/>
      <w:r w:rsidRPr="006F6D72">
        <w:lastRenderedPageBreak/>
        <w:t>LES DEPENSES</w:t>
      </w:r>
      <w:r w:rsidR="008730CE" w:rsidRPr="006F6D72">
        <w:t xml:space="preserve"> DE FONCTIONNEMENT</w:t>
      </w:r>
      <w:bookmarkEnd w:id="13"/>
    </w:p>
    <w:p w:rsidR="005843BF" w:rsidRPr="00DA4094" w:rsidRDefault="005843BF" w:rsidP="00925F4C">
      <w:pPr>
        <w:pStyle w:val="Titre2"/>
      </w:pPr>
      <w:bookmarkStart w:id="14" w:name="_Toc224574172"/>
      <w:r w:rsidRPr="00DA4094">
        <w:t xml:space="preserve">Les charges à caractère général – Chapitre 011 : </w:t>
      </w:r>
      <w:r w:rsidR="006F6D72" w:rsidRPr="00DA4094">
        <w:t>8 870 623</w:t>
      </w:r>
      <w:r w:rsidR="00091641" w:rsidRPr="00DA4094">
        <w:t>,00 €</w:t>
      </w:r>
      <w:bookmarkEnd w:id="14"/>
    </w:p>
    <w:p w:rsidR="005843BF" w:rsidRDefault="005843BF" w:rsidP="00925F4C">
      <w:r w:rsidRPr="00DA4094">
        <w:t>Ce chapitre globalisé regroupe les comptes 60, 61, 62 (sauf 621) ; 635, 637 et 713. Y sont comptabilisées toutes les dépenses indispensables à l’entretien des bâtiments et au fonctionnement des différents services, à savoir les achats (fluides et fournitures), l’intervention de prestataires de services extéri</w:t>
      </w:r>
      <w:r w:rsidR="007E30E0" w:rsidRPr="00DA4094">
        <w:t>eurs et le paiement des impôts et</w:t>
      </w:r>
      <w:r w:rsidRPr="00DA4094">
        <w:t xml:space="preserve"> taxes.</w:t>
      </w:r>
    </w:p>
    <w:p w:rsidR="00B47F3A" w:rsidRPr="00DA4094" w:rsidRDefault="00B47F3A" w:rsidP="00925F4C">
      <w:r>
        <w:t>L’inscription pour 2026 est en retrait par rapport aux inscriptions pour 2025 mais demeure en hausse par rapport aux réalisations 2025.</w:t>
      </w:r>
    </w:p>
    <w:p w:rsidR="00DA4094" w:rsidRPr="00B47F3A" w:rsidRDefault="006F5C85" w:rsidP="003500AA">
      <w:r w:rsidRPr="00B47F3A">
        <w:t xml:space="preserve">S’agissant des dépenses de fluides (eau, électricité, gaz/chauffage, combustibles, carburant), elles sont estimées à </w:t>
      </w:r>
      <w:r w:rsidR="00DA4094" w:rsidRPr="00B47F3A">
        <w:t xml:space="preserve">1915K€, </w:t>
      </w:r>
      <w:r w:rsidR="003500AA" w:rsidRPr="00B47F3A">
        <w:t xml:space="preserve">une proposition en </w:t>
      </w:r>
      <w:r w:rsidR="00DA4094" w:rsidRPr="00B47F3A">
        <w:t>hausse</w:t>
      </w:r>
      <w:r w:rsidR="003500AA" w:rsidRPr="00B47F3A">
        <w:t xml:space="preserve"> </w:t>
      </w:r>
      <w:r w:rsidR="00B47F3A" w:rsidRPr="00B47F3A">
        <w:t>de 8% (</w:t>
      </w:r>
      <w:r w:rsidR="006E4277">
        <w:t>+</w:t>
      </w:r>
      <w:r w:rsidR="00B47F3A" w:rsidRPr="00B47F3A">
        <w:t xml:space="preserve">143K€) </w:t>
      </w:r>
      <w:r w:rsidR="003500AA" w:rsidRPr="00B47F3A">
        <w:t>par rapport aux estimations pour 202</w:t>
      </w:r>
      <w:r w:rsidR="00DA4094" w:rsidRPr="00B47F3A">
        <w:t>5</w:t>
      </w:r>
      <w:r w:rsidR="008F5125">
        <w:t>, notamment en raison de la situation internationale incertaine</w:t>
      </w:r>
      <w:r w:rsidR="00DA4094" w:rsidRPr="00B47F3A">
        <w:t>.</w:t>
      </w:r>
      <w:r w:rsidRPr="00B47F3A">
        <w:t xml:space="preserve"> </w:t>
      </w:r>
    </w:p>
    <w:p w:rsidR="00D40EC9" w:rsidRDefault="00EA289A" w:rsidP="003500AA">
      <w:r w:rsidRPr="006E4277">
        <w:t>Il est éga</w:t>
      </w:r>
      <w:r w:rsidR="00C3169E" w:rsidRPr="006E4277">
        <w:t>l</w:t>
      </w:r>
      <w:r w:rsidRPr="006E4277">
        <w:t>ement à noter que désormais les refacturations intercommunales</w:t>
      </w:r>
      <w:r w:rsidR="006E4277" w:rsidRPr="006E4277">
        <w:t xml:space="preserve"> seront prises en charges sur ce </w:t>
      </w:r>
      <w:r w:rsidR="007D4E15" w:rsidRPr="006E4277">
        <w:t>chapitre</w:t>
      </w:r>
      <w:r w:rsidR="006E4277" w:rsidRPr="006E4277">
        <w:t xml:space="preserve"> budgétaire (+50K€)</w:t>
      </w:r>
    </w:p>
    <w:p w:rsidR="007D4E15" w:rsidRPr="006E4277" w:rsidRDefault="007D4E15" w:rsidP="007D4E15">
      <w:r>
        <w:t xml:space="preserve">Le reste du chapitre est marqué par une révision à la baisse des estimations afin d’être plus proche des réalisations 2025 : c’est notamment le cas des fournitures (-137K€) des contrats de prestation, locations et charges (-60K€) et ou </w:t>
      </w:r>
      <w:proofErr w:type="spellStart"/>
      <w:r>
        <w:t>ds</w:t>
      </w:r>
      <w:proofErr w:type="spellEnd"/>
      <w:r>
        <w:t xml:space="preserve"> prestations de tran</w:t>
      </w:r>
      <w:r w:rsidR="006D7273">
        <w:t>s</w:t>
      </w:r>
      <w:r>
        <w:t>port (-40K€).</w:t>
      </w:r>
    </w:p>
    <w:p w:rsidR="005843BF" w:rsidRPr="007227F7" w:rsidRDefault="005843BF" w:rsidP="00925F4C">
      <w:pPr>
        <w:pStyle w:val="Titre2"/>
        <w:rPr>
          <w:highlight w:val="yellow"/>
        </w:rPr>
      </w:pPr>
      <w:bookmarkStart w:id="15" w:name="_Toc224574173"/>
      <w:r w:rsidRPr="006D7273">
        <w:t xml:space="preserve">Les charges de personnel – Chapitre 012 : </w:t>
      </w:r>
      <w:r w:rsidR="006D7273" w:rsidRPr="006D7273">
        <w:t>24 401 000,00 €</w:t>
      </w:r>
      <w:bookmarkEnd w:id="15"/>
    </w:p>
    <w:p w:rsidR="005843BF" w:rsidRPr="006D7273" w:rsidRDefault="005843BF" w:rsidP="00925F4C">
      <w:pPr>
        <w:rPr>
          <w:szCs w:val="22"/>
        </w:rPr>
      </w:pPr>
      <w:r w:rsidRPr="006D7273">
        <w:t xml:space="preserve">Ce chapitre regroupe les comptes 621, 64, 631 et 633 comprenant les rémunérations proprement dites et </w:t>
      </w:r>
      <w:r w:rsidRPr="006D7273">
        <w:rPr>
          <w:szCs w:val="22"/>
        </w:rPr>
        <w:t>les charges sociales</w:t>
      </w:r>
      <w:r w:rsidR="00FE202A" w:rsidRPr="006D7273">
        <w:rPr>
          <w:szCs w:val="22"/>
        </w:rPr>
        <w:t xml:space="preserve"> et fiscales liées à la rémunération</w:t>
      </w:r>
      <w:r w:rsidRPr="006D7273">
        <w:rPr>
          <w:szCs w:val="22"/>
        </w:rPr>
        <w:t>.</w:t>
      </w:r>
    </w:p>
    <w:p w:rsidR="00CE2FA6" w:rsidRDefault="00CE2FA6" w:rsidP="001A5A82"/>
    <w:p w:rsidR="00CE2FA6" w:rsidRDefault="001A5A82" w:rsidP="001A5A82">
      <w:pPr>
        <w:rPr>
          <w:color w:val="000000" w:themeColor="text1"/>
        </w:rPr>
      </w:pPr>
      <w:r w:rsidRPr="00BB5145">
        <w:t>Pour 202</w:t>
      </w:r>
      <w:r w:rsidR="008F5125">
        <w:t>6</w:t>
      </w:r>
      <w:r w:rsidRPr="00BB5145">
        <w:t xml:space="preserve">, les frais de dépenses de personnel sont </w:t>
      </w:r>
      <w:proofErr w:type="gramStart"/>
      <w:r w:rsidRPr="00BB5145">
        <w:t>évaluées</w:t>
      </w:r>
      <w:proofErr w:type="gramEnd"/>
      <w:r w:rsidRPr="00BB5145">
        <w:t xml:space="preserve"> à </w:t>
      </w:r>
      <w:r w:rsidRPr="00BB5145">
        <w:rPr>
          <w:color w:val="000000" w:themeColor="text1"/>
        </w:rPr>
        <w:t xml:space="preserve">24 </w:t>
      </w:r>
      <w:r w:rsidR="00BB5145" w:rsidRPr="00BB5145">
        <w:rPr>
          <w:color w:val="000000" w:themeColor="text1"/>
        </w:rPr>
        <w:t>401 000</w:t>
      </w:r>
      <w:r w:rsidRPr="00BB5145">
        <w:rPr>
          <w:color w:val="000000" w:themeColor="text1"/>
        </w:rPr>
        <w:t>,00 €</w:t>
      </w:r>
      <w:r w:rsidR="00CE2FA6">
        <w:rPr>
          <w:color w:val="000000" w:themeColor="text1"/>
        </w:rPr>
        <w:t>.</w:t>
      </w:r>
    </w:p>
    <w:p w:rsidR="00CE2FA6" w:rsidRPr="00CE2FA6" w:rsidRDefault="00CE2FA6" w:rsidP="00CE2FA6">
      <w:pPr>
        <w:rPr>
          <w:color w:val="000000" w:themeColor="text1"/>
        </w:rPr>
      </w:pPr>
      <w:r w:rsidRPr="00CE2FA6">
        <w:rPr>
          <w:color w:val="000000" w:themeColor="text1"/>
        </w:rPr>
        <w:t xml:space="preserve">Mécaniquement, la masse salariale est en constante augmentation du seul fait du Glissement Vieillesse Technicité qui traduit l’augmentation en ancienneté et en grade des fonctionnaires (+116.075 € attendus en 2026). </w:t>
      </w:r>
    </w:p>
    <w:p w:rsidR="00CE2FA6" w:rsidRPr="00CE2FA6" w:rsidRDefault="00CE2FA6" w:rsidP="00CE2FA6">
      <w:pPr>
        <w:rPr>
          <w:color w:val="000000" w:themeColor="text1"/>
        </w:rPr>
      </w:pPr>
      <w:r w:rsidRPr="00CE2FA6">
        <w:rPr>
          <w:color w:val="000000" w:themeColor="text1"/>
        </w:rPr>
        <w:t xml:space="preserve">A cela, s’ajoutent, depuis plusieurs années, des éléments contraints qui pèsent sur l’augmentation de la masse salariale : </w:t>
      </w:r>
    </w:p>
    <w:p w:rsidR="00CE2FA6" w:rsidRPr="00CE2FA6" w:rsidRDefault="00CE2FA6" w:rsidP="00CE2FA6">
      <w:pPr>
        <w:pStyle w:val="Paragraphedeliste"/>
        <w:numPr>
          <w:ilvl w:val="0"/>
          <w:numId w:val="37"/>
        </w:numPr>
        <w:rPr>
          <w:color w:val="000000" w:themeColor="text1"/>
        </w:rPr>
      </w:pPr>
      <w:r w:rsidRPr="00CE2FA6">
        <w:rPr>
          <w:color w:val="000000" w:themeColor="text1"/>
        </w:rPr>
        <w:t>évolution de la valeur du SMIC au 01 janvier 2026 (+1,18%)</w:t>
      </w:r>
      <w:r>
        <w:rPr>
          <w:color w:val="000000" w:themeColor="text1"/>
        </w:rPr>
        <w:t> ;</w:t>
      </w:r>
    </w:p>
    <w:p w:rsidR="00CE2FA6" w:rsidRPr="00CE2FA6" w:rsidRDefault="00CE2FA6" w:rsidP="00CE2FA6">
      <w:pPr>
        <w:pStyle w:val="Paragraphedeliste"/>
        <w:numPr>
          <w:ilvl w:val="0"/>
          <w:numId w:val="37"/>
        </w:numPr>
        <w:rPr>
          <w:color w:val="000000" w:themeColor="text1"/>
        </w:rPr>
      </w:pPr>
      <w:r w:rsidRPr="00CE2FA6">
        <w:rPr>
          <w:color w:val="000000" w:themeColor="text1"/>
        </w:rPr>
        <w:t>mise en place de la participation employeur en matière de complémentaires Santé (142.000 € budgétés)</w:t>
      </w:r>
      <w:r>
        <w:rPr>
          <w:color w:val="000000" w:themeColor="text1"/>
        </w:rPr>
        <w:t> ;</w:t>
      </w:r>
    </w:p>
    <w:p w:rsidR="00CE2FA6" w:rsidRPr="00CE2FA6" w:rsidRDefault="00CE2FA6" w:rsidP="00CE2FA6">
      <w:pPr>
        <w:pStyle w:val="Paragraphedeliste"/>
        <w:numPr>
          <w:ilvl w:val="0"/>
          <w:numId w:val="37"/>
        </w:numPr>
        <w:rPr>
          <w:color w:val="000000" w:themeColor="text1"/>
        </w:rPr>
      </w:pPr>
      <w:r w:rsidRPr="00CE2FA6">
        <w:rPr>
          <w:color w:val="000000" w:themeColor="text1"/>
        </w:rPr>
        <w:t>hausse de 3 points du taux de cotisation à la CNRACL (de 34,65 % à 37,65%) pour un surcoût 2026 d’environ 355.000 €</w:t>
      </w:r>
      <w:r>
        <w:rPr>
          <w:color w:val="000000" w:themeColor="text1"/>
        </w:rPr>
        <w:t> ;</w:t>
      </w:r>
    </w:p>
    <w:p w:rsidR="00CE2FA6" w:rsidRPr="00CE2FA6" w:rsidRDefault="00CE2FA6" w:rsidP="00CE2FA6">
      <w:pPr>
        <w:pStyle w:val="Paragraphedeliste"/>
        <w:numPr>
          <w:ilvl w:val="0"/>
          <w:numId w:val="37"/>
        </w:numPr>
        <w:rPr>
          <w:color w:val="000000" w:themeColor="text1"/>
        </w:rPr>
      </w:pPr>
      <w:r w:rsidRPr="00CE2FA6">
        <w:rPr>
          <w:color w:val="000000" w:themeColor="text1"/>
        </w:rPr>
        <w:t>organisation des élections municipales 2026</w:t>
      </w:r>
      <w:r w:rsidR="008F5125">
        <w:rPr>
          <w:color w:val="000000" w:themeColor="text1"/>
        </w:rPr>
        <w:t xml:space="preserve"> </w:t>
      </w:r>
      <w:r w:rsidRPr="00CE2FA6">
        <w:rPr>
          <w:color w:val="000000" w:themeColor="text1"/>
        </w:rPr>
        <w:t>– budgétées 60.000 €</w:t>
      </w:r>
      <w:r>
        <w:rPr>
          <w:color w:val="000000" w:themeColor="text1"/>
        </w:rPr>
        <w:t>.</w:t>
      </w:r>
    </w:p>
    <w:p w:rsidR="00CE2FA6" w:rsidRPr="00CE2FA6" w:rsidRDefault="00CE2FA6" w:rsidP="00CE2FA6">
      <w:pPr>
        <w:rPr>
          <w:color w:val="000000" w:themeColor="text1"/>
        </w:rPr>
      </w:pPr>
      <w:r w:rsidRPr="00CE2FA6">
        <w:rPr>
          <w:color w:val="000000" w:themeColor="text1"/>
        </w:rPr>
        <w:t xml:space="preserve">Il n’a pas été prévu de nouvelle augmentation du point d’indice dans la construction du budget 2026 compte tenu de l’absence d’annonce gouvernementale à ce sujet.  </w:t>
      </w:r>
    </w:p>
    <w:p w:rsidR="00CE2FA6" w:rsidRPr="007227F7" w:rsidRDefault="00CE2FA6" w:rsidP="00CE2FA6">
      <w:r w:rsidRPr="00CE2FA6">
        <w:rPr>
          <w:color w:val="000000" w:themeColor="text1"/>
        </w:rPr>
        <w:t>A contrario, la baisse de l’indemnisation des arrêts maladie de 100% à 90% pendant les trois premiers mois d’arrêt (avant passage à demi-traitement) a été reconduite pour les agents publics. L’augmentation de 1 à 3 jours du délai de carence, de nouveau évoquée cette année, n’a pas été retenue dans la loi de financement de la sécurité sociale 2026.</w:t>
      </w:r>
      <w:r w:rsidR="001A5A82" w:rsidRPr="00BB5145">
        <w:rPr>
          <w:color w:val="000000" w:themeColor="text1"/>
        </w:rPr>
        <w:t xml:space="preserve"> </w:t>
      </w:r>
    </w:p>
    <w:p w:rsidR="001A5A82" w:rsidRPr="007227F7" w:rsidRDefault="001A5A82" w:rsidP="001A5A82">
      <w:pPr>
        <w:rPr>
          <w:highlight w:val="yellow"/>
        </w:rPr>
      </w:pPr>
    </w:p>
    <w:p w:rsidR="00E5480F" w:rsidRPr="00F43BD3" w:rsidRDefault="00E5480F" w:rsidP="00925F4C">
      <w:pPr>
        <w:pStyle w:val="Titre2"/>
      </w:pPr>
      <w:bookmarkStart w:id="16" w:name="_Toc224574174"/>
      <w:r w:rsidRPr="00F43BD3">
        <w:t xml:space="preserve">Les atténuations de produits – Chapitre 014 : </w:t>
      </w:r>
      <w:r w:rsidR="006D7273" w:rsidRPr="00F43BD3">
        <w:t>25</w:t>
      </w:r>
      <w:r w:rsidR="00614953" w:rsidRPr="00F43BD3">
        <w:t xml:space="preserve"> 000,00</w:t>
      </w:r>
      <w:r w:rsidRPr="00F43BD3">
        <w:t>€</w:t>
      </w:r>
      <w:bookmarkEnd w:id="16"/>
    </w:p>
    <w:p w:rsidR="00A72FB6" w:rsidRPr="00F43BD3" w:rsidRDefault="00E5480F" w:rsidP="00925F4C">
      <w:r w:rsidRPr="00F43BD3">
        <w:t>Ce chapitre retra</w:t>
      </w:r>
      <w:r w:rsidR="00A72FB6" w:rsidRPr="00F43BD3">
        <w:t xml:space="preserve">ce les prélèvements sur recettes. </w:t>
      </w:r>
    </w:p>
    <w:p w:rsidR="00E5480F" w:rsidRPr="00F43BD3" w:rsidRDefault="00A72FB6" w:rsidP="00925F4C">
      <w:r w:rsidRPr="00F43BD3">
        <w:t>Il s’agit par exemple d</w:t>
      </w:r>
      <w:r w:rsidR="00E5480F" w:rsidRPr="00F43BD3">
        <w:t xml:space="preserve">es sommes </w:t>
      </w:r>
      <w:r w:rsidR="00D15617" w:rsidRPr="00F43BD3">
        <w:t>dues</w:t>
      </w:r>
      <w:r w:rsidR="00E5480F" w:rsidRPr="00F43BD3">
        <w:t xml:space="preserve"> </w:t>
      </w:r>
      <w:r w:rsidR="006D7273" w:rsidRPr="00F43BD3">
        <w:t>en raison d’indus fiscaux, à savoir des prélèvements opérés et versés à la collectivité qui sont contesté a posteriori par les contribuables</w:t>
      </w:r>
      <w:r w:rsidR="00DB587D" w:rsidRPr="00F43BD3">
        <w:t>.</w:t>
      </w:r>
      <w:r w:rsidR="004B528F" w:rsidRPr="00F43BD3">
        <w:t xml:space="preserve"> </w:t>
      </w:r>
    </w:p>
    <w:p w:rsidR="005843BF" w:rsidRPr="00F43BD3" w:rsidRDefault="005843BF" w:rsidP="00925F4C">
      <w:pPr>
        <w:pStyle w:val="Titre2"/>
      </w:pPr>
      <w:bookmarkStart w:id="17" w:name="_Toc224574175"/>
      <w:r w:rsidRPr="00F43BD3">
        <w:lastRenderedPageBreak/>
        <w:t xml:space="preserve">Les autres charges de gestion courante – Chapitre 65 : </w:t>
      </w:r>
      <w:r w:rsidR="00F43BD3" w:rsidRPr="00F43BD3">
        <w:t>4 171 053</w:t>
      </w:r>
      <w:r w:rsidR="0044648F" w:rsidRPr="00F43BD3">
        <w:t>,00</w:t>
      </w:r>
      <w:r w:rsidRPr="00F43BD3">
        <w:t>€</w:t>
      </w:r>
      <w:bookmarkEnd w:id="17"/>
    </w:p>
    <w:p w:rsidR="00C757AD" w:rsidRPr="00F43BD3" w:rsidRDefault="005843BF" w:rsidP="00925F4C">
      <w:r w:rsidRPr="00F43BD3">
        <w:t xml:space="preserve">Ce poste regroupe </w:t>
      </w:r>
      <w:r w:rsidR="00F43BD3" w:rsidRPr="00F43BD3">
        <w:t xml:space="preserve">principalement </w:t>
      </w:r>
      <w:r w:rsidRPr="00F43BD3">
        <w:t>les dépenses rel</w:t>
      </w:r>
      <w:r w:rsidR="00EC4967" w:rsidRPr="00F43BD3">
        <w:t xml:space="preserve">atives </w:t>
      </w:r>
      <w:r w:rsidR="000D35A4" w:rsidRPr="00F43BD3">
        <w:t>aux subventions versées et aux indemnités des élus.</w:t>
      </w:r>
      <w:r w:rsidR="00C757AD" w:rsidRPr="00F43BD3">
        <w:t xml:space="preserve"> </w:t>
      </w:r>
    </w:p>
    <w:p w:rsidR="00F43BD3" w:rsidRPr="00F43BD3" w:rsidRDefault="005843BF" w:rsidP="00925F4C">
      <w:r w:rsidRPr="00F43BD3">
        <w:t xml:space="preserve">Les subventions </w:t>
      </w:r>
      <w:r w:rsidR="00506412" w:rsidRPr="00F43BD3">
        <w:t xml:space="preserve">de fonctionnement </w:t>
      </w:r>
      <w:r w:rsidRPr="00F43BD3">
        <w:t xml:space="preserve">aux associations (compte 6574) sont </w:t>
      </w:r>
      <w:r w:rsidR="00326BDF" w:rsidRPr="00F43BD3">
        <w:t>estimé</w:t>
      </w:r>
      <w:r w:rsidRPr="00F43BD3">
        <w:t xml:space="preserve">es à </w:t>
      </w:r>
      <w:r w:rsidR="00E46DBF" w:rsidRPr="00F43BD3">
        <w:t>19</w:t>
      </w:r>
      <w:r w:rsidR="00450AFD" w:rsidRPr="00F43BD3">
        <w:t>2</w:t>
      </w:r>
      <w:r w:rsidR="00F43BD3" w:rsidRPr="00F43BD3">
        <w:t>4</w:t>
      </w:r>
      <w:r w:rsidR="00271284" w:rsidRPr="00F43BD3">
        <w:t xml:space="preserve"> </w:t>
      </w:r>
      <w:r w:rsidR="0044648F" w:rsidRPr="00F43BD3">
        <w:t>K</w:t>
      </w:r>
      <w:r w:rsidR="00605095" w:rsidRPr="00F43BD3">
        <w:t>€</w:t>
      </w:r>
      <w:r w:rsidR="00F43BD3" w:rsidRPr="00F43BD3">
        <w:t xml:space="preserve"> pour 2026</w:t>
      </w:r>
      <w:r w:rsidR="00605095" w:rsidRPr="00F43BD3">
        <w:t>.</w:t>
      </w:r>
      <w:r w:rsidR="00C757AD" w:rsidRPr="00F43BD3">
        <w:t xml:space="preserve"> </w:t>
      </w:r>
    </w:p>
    <w:p w:rsidR="005843BF" w:rsidRPr="00F43BD3" w:rsidRDefault="00326BDF" w:rsidP="00925F4C">
      <w:r w:rsidRPr="00F43BD3">
        <w:t>L</w:t>
      </w:r>
      <w:r w:rsidR="00E46DBF" w:rsidRPr="00F43BD3">
        <w:t>a subvention</w:t>
      </w:r>
      <w:r w:rsidR="005843BF" w:rsidRPr="00F43BD3">
        <w:t xml:space="preserve"> au C.C.A.S. </w:t>
      </w:r>
      <w:r w:rsidR="00E46DBF" w:rsidRPr="00F43BD3">
        <w:t>a</w:t>
      </w:r>
      <w:r w:rsidR="005843BF" w:rsidRPr="00F43BD3">
        <w:t xml:space="preserve"> été </w:t>
      </w:r>
      <w:r w:rsidR="00E46DBF" w:rsidRPr="00F43BD3">
        <w:t>es</w:t>
      </w:r>
      <w:r w:rsidR="00141A28" w:rsidRPr="00F43BD3">
        <w:t>timé</w:t>
      </w:r>
      <w:r w:rsidR="00E46DBF" w:rsidRPr="00F43BD3">
        <w:t>e</w:t>
      </w:r>
      <w:r w:rsidR="00141A28" w:rsidRPr="00F43BD3">
        <w:t xml:space="preserve"> à</w:t>
      </w:r>
      <w:r w:rsidR="005843BF" w:rsidRPr="00F43BD3">
        <w:t xml:space="preserve"> 1</w:t>
      </w:r>
      <w:r w:rsidR="00F43BD3" w:rsidRPr="00F43BD3">
        <w:t>827</w:t>
      </w:r>
      <w:r w:rsidR="00165AA4" w:rsidRPr="00F43BD3">
        <w:t xml:space="preserve"> </w:t>
      </w:r>
      <w:r w:rsidR="00271284" w:rsidRPr="00F43BD3">
        <w:t>K</w:t>
      </w:r>
      <w:r w:rsidR="005843BF" w:rsidRPr="00F43BD3">
        <w:t>€.</w:t>
      </w:r>
    </w:p>
    <w:p w:rsidR="005843BF" w:rsidRPr="00F43BD3" w:rsidRDefault="005843BF" w:rsidP="00925F4C">
      <w:pPr>
        <w:pStyle w:val="Titre2"/>
      </w:pPr>
      <w:bookmarkStart w:id="18" w:name="_Toc224574176"/>
      <w:r w:rsidRPr="00F43BD3">
        <w:t xml:space="preserve">Les charges financières – Chapitre 66 : </w:t>
      </w:r>
      <w:r w:rsidR="00450AFD" w:rsidRPr="00F43BD3">
        <w:t>4</w:t>
      </w:r>
      <w:r w:rsidR="00F43BD3" w:rsidRPr="00F43BD3">
        <w:t>8</w:t>
      </w:r>
      <w:r w:rsidR="009F159F" w:rsidRPr="00F43BD3">
        <w:t>0</w:t>
      </w:r>
      <w:r w:rsidR="00614953" w:rsidRPr="00F43BD3">
        <w:t xml:space="preserve"> 000,00</w:t>
      </w:r>
      <w:r w:rsidRPr="00F43BD3">
        <w:t xml:space="preserve"> €</w:t>
      </w:r>
      <w:bookmarkEnd w:id="18"/>
    </w:p>
    <w:p w:rsidR="005843BF" w:rsidRPr="00F43BD3" w:rsidRDefault="005843BF" w:rsidP="00925F4C">
      <w:r w:rsidRPr="00F43BD3">
        <w:t>Ce chapitre retrace les intérêts des emprunts.</w:t>
      </w:r>
      <w:r w:rsidR="00E93E8B" w:rsidRPr="00F43BD3">
        <w:t xml:space="preserve"> Il est en </w:t>
      </w:r>
      <w:r w:rsidR="00F43BD3" w:rsidRPr="00F43BD3">
        <w:t xml:space="preserve">légère </w:t>
      </w:r>
      <w:r w:rsidR="00E93E8B" w:rsidRPr="00F43BD3">
        <w:t>hausse en 202</w:t>
      </w:r>
      <w:r w:rsidR="00F43BD3" w:rsidRPr="00F43BD3">
        <w:t>6.</w:t>
      </w:r>
    </w:p>
    <w:p w:rsidR="005843BF" w:rsidRPr="00F43BD3" w:rsidRDefault="005843BF" w:rsidP="00925F4C">
      <w:pPr>
        <w:pStyle w:val="Titre2"/>
      </w:pPr>
      <w:bookmarkStart w:id="19" w:name="_Toc224574177"/>
      <w:r w:rsidRPr="00F43BD3">
        <w:t xml:space="preserve">Les charges exceptionnelles – Chapitre 67 : </w:t>
      </w:r>
      <w:r w:rsidR="00F43BD3" w:rsidRPr="00F43BD3">
        <w:t>9</w:t>
      </w:r>
      <w:r w:rsidR="00450AFD" w:rsidRPr="00F43BD3">
        <w:t>8 000</w:t>
      </w:r>
      <w:r w:rsidR="00614953" w:rsidRPr="00F43BD3">
        <w:t>,00</w:t>
      </w:r>
      <w:r w:rsidRPr="00F43BD3">
        <w:t>€</w:t>
      </w:r>
      <w:bookmarkEnd w:id="19"/>
    </w:p>
    <w:p w:rsidR="00165AA4" w:rsidRPr="00F43BD3" w:rsidRDefault="005843BF" w:rsidP="00925F4C">
      <w:r w:rsidRPr="00F43BD3">
        <w:t>Le chapitre 67 est constitué de dépenses n’ayant pas de caractère répétitif. A titre d’exemple, il comprend d’éventuels intérêts moratoires sur marchés, des opérations d’annulation de titres sur exercices antérieurs, des subventions exceptionnelles.</w:t>
      </w:r>
      <w:r w:rsidR="00506412" w:rsidRPr="00F43BD3">
        <w:t xml:space="preserve"> </w:t>
      </w:r>
    </w:p>
    <w:p w:rsidR="00450AFD" w:rsidRPr="00F43BD3" w:rsidRDefault="00E46DBF" w:rsidP="00925F4C">
      <w:r w:rsidRPr="00F43BD3">
        <w:t xml:space="preserve">Une somme de </w:t>
      </w:r>
      <w:r w:rsidR="00F43BD3" w:rsidRPr="00F43BD3">
        <w:t>4</w:t>
      </w:r>
      <w:r w:rsidRPr="00F43BD3">
        <w:t xml:space="preserve">0 000€ vise à faire face aux éventuelles opérations de gestion pouvant se déclarer dans l’année (ex : annulation de titre de recette sur exercice antérieur). </w:t>
      </w:r>
      <w:r w:rsidR="00F43BD3" w:rsidRPr="00F43BD3">
        <w:t>Il est déjà attendu l’annulation d’une recette d’un exercice antérieur en raison d’une erreur d’imputation qu’il conviendra de rectifier.</w:t>
      </w:r>
    </w:p>
    <w:p w:rsidR="00E46DBF" w:rsidRPr="00F43BD3" w:rsidRDefault="00450AFD" w:rsidP="00925F4C">
      <w:r w:rsidRPr="00F43BD3">
        <w:t>U</w:t>
      </w:r>
      <w:r w:rsidR="00E46DBF" w:rsidRPr="00F43BD3">
        <w:t>ne somme de 38</w:t>
      </w:r>
      <w:r w:rsidR="008F5125">
        <w:t xml:space="preserve"> </w:t>
      </w:r>
      <w:r w:rsidRPr="00F43BD3">
        <w:t>000</w:t>
      </w:r>
      <w:r w:rsidR="00E46DBF" w:rsidRPr="00F43BD3">
        <w:t xml:space="preserve">€ est inscrite : elle correspond à un trop perçu de taxe sur la consommation finale d’électricité </w:t>
      </w:r>
      <w:r w:rsidRPr="00F43BD3">
        <w:t>qu’il conviendra de rembourser à terme</w:t>
      </w:r>
      <w:r w:rsidR="00E46DBF" w:rsidRPr="00F43BD3">
        <w:t>.</w:t>
      </w:r>
    </w:p>
    <w:p w:rsidR="002838F2" w:rsidRPr="007227F7" w:rsidRDefault="002838F2" w:rsidP="00925F4C">
      <w:pPr>
        <w:rPr>
          <w:highlight w:val="yellow"/>
        </w:rPr>
      </w:pPr>
    </w:p>
    <w:p w:rsidR="00A540B6" w:rsidRPr="007227F7" w:rsidRDefault="00A540B6" w:rsidP="00003E99">
      <w:pPr>
        <w:pStyle w:val="Titre1"/>
        <w:rPr>
          <w:highlight w:val="yellow"/>
        </w:rPr>
      </w:pPr>
      <w:bookmarkStart w:id="20" w:name="_Toc224574178"/>
      <w:r w:rsidRPr="00F43BD3">
        <w:t xml:space="preserve">Les opérations de transferts entre sections – Chapitre 042  Dépenses : </w:t>
      </w:r>
      <w:r w:rsidR="000064E2" w:rsidRPr="00F43BD3">
        <w:t xml:space="preserve">2 </w:t>
      </w:r>
      <w:r w:rsidR="00F43BD3" w:rsidRPr="00F43BD3">
        <w:t>706</w:t>
      </w:r>
      <w:r w:rsidR="00614953" w:rsidRPr="00F43BD3">
        <w:t xml:space="preserve"> </w:t>
      </w:r>
      <w:r w:rsidR="00154FBF" w:rsidRPr="00F43BD3">
        <w:t>0</w:t>
      </w:r>
      <w:r w:rsidR="00614953" w:rsidRPr="00F43BD3">
        <w:t>00,00</w:t>
      </w:r>
      <w:r w:rsidRPr="00F43BD3">
        <w:t xml:space="preserve"> € - Recettes : </w:t>
      </w:r>
      <w:r w:rsidR="000064E2" w:rsidRPr="00F43BD3">
        <w:t>4</w:t>
      </w:r>
      <w:r w:rsidR="00F43BD3" w:rsidRPr="00F43BD3">
        <w:t>89</w:t>
      </w:r>
      <w:r w:rsidR="000064E2" w:rsidRPr="00F43BD3">
        <w:t xml:space="preserve"> </w:t>
      </w:r>
      <w:r w:rsidR="00F43BD3" w:rsidRPr="00F43BD3">
        <w:t>0</w:t>
      </w:r>
      <w:r w:rsidR="003C0E12" w:rsidRPr="00F43BD3">
        <w:t>00</w:t>
      </w:r>
      <w:r w:rsidR="00614953" w:rsidRPr="00F43BD3">
        <w:t>,00</w:t>
      </w:r>
      <w:r w:rsidRPr="00F43BD3">
        <w:t xml:space="preserve"> €</w:t>
      </w:r>
      <w:bookmarkEnd w:id="20"/>
    </w:p>
    <w:p w:rsidR="00931F50" w:rsidRPr="00F43BD3" w:rsidRDefault="00A540B6" w:rsidP="00925F4C">
      <w:r w:rsidRPr="00F43BD3">
        <w:t>Elles regroupent les dotations aux amortissements ainsi que la neutralisation des différentes cessions et du coût des fournitures relatif aux travaux en régie. Il s’agit d’opérations comptables qui trouvent leur contrepartie en investissement.</w:t>
      </w:r>
    </w:p>
    <w:p w:rsidR="00614953" w:rsidRPr="00F43BD3" w:rsidRDefault="00614953" w:rsidP="00003E99">
      <w:pPr>
        <w:pStyle w:val="Titre1"/>
      </w:pPr>
      <w:bookmarkStart w:id="21" w:name="_Toc224574179"/>
      <w:r w:rsidRPr="00F43BD3">
        <w:t xml:space="preserve">Virement à la section d’investissement – Chapitre 023 : </w:t>
      </w:r>
      <w:r w:rsidR="0074584A" w:rsidRPr="00F43BD3">
        <w:br/>
      </w:r>
      <w:r w:rsidR="00D609B5" w:rsidRPr="00D609B5">
        <w:t>8 320 953,05 €</w:t>
      </w:r>
      <w:bookmarkEnd w:id="21"/>
    </w:p>
    <w:p w:rsidR="00B97799" w:rsidRPr="007227F7" w:rsidRDefault="00B97799" w:rsidP="00925F4C">
      <w:pPr>
        <w:rPr>
          <w:highlight w:val="yellow"/>
        </w:rPr>
      </w:pPr>
    </w:p>
    <w:p w:rsidR="00614953" w:rsidRPr="007227F7" w:rsidRDefault="00614953" w:rsidP="00925F4C">
      <w:pPr>
        <w:rPr>
          <w:highlight w:val="yellow"/>
        </w:rPr>
      </w:pPr>
    </w:p>
    <w:p w:rsidR="00C302BE" w:rsidRPr="007227F7" w:rsidRDefault="008730CE" w:rsidP="00925F4C">
      <w:pPr>
        <w:pStyle w:val="Corpsdetexte"/>
        <w:rPr>
          <w:highlight w:val="yellow"/>
        </w:rPr>
      </w:pPr>
      <w:r w:rsidRPr="007227F7">
        <w:rPr>
          <w:highlight w:val="yellow"/>
        </w:rPr>
        <w:br w:type="page"/>
      </w:r>
    </w:p>
    <w:p w:rsidR="005B12FD" w:rsidRPr="00F43BD3" w:rsidRDefault="005B12FD" w:rsidP="00925F4C">
      <w:pPr>
        <w:pStyle w:val="Titre"/>
      </w:pPr>
      <w:bookmarkStart w:id="22" w:name="_Toc224574180"/>
      <w:r w:rsidRPr="00F43BD3">
        <w:lastRenderedPageBreak/>
        <w:t>SECTION D’INVESTISSEMENT</w:t>
      </w:r>
      <w:bookmarkEnd w:id="22"/>
    </w:p>
    <w:p w:rsidR="0041321E" w:rsidRPr="00D4288F" w:rsidRDefault="0041321E" w:rsidP="00003E99">
      <w:pPr>
        <w:pStyle w:val="Titre1"/>
      </w:pPr>
      <w:bookmarkStart w:id="23" w:name="_Toc224574181"/>
      <w:r w:rsidRPr="00D4288F">
        <w:t>LES DEPENSES</w:t>
      </w:r>
      <w:r w:rsidR="008730CE" w:rsidRPr="00D4288F">
        <w:t xml:space="preserve"> D’INVESTISSEMENT</w:t>
      </w:r>
      <w:bookmarkEnd w:id="23"/>
    </w:p>
    <w:p w:rsidR="00C25D53" w:rsidRPr="00D4288F" w:rsidRDefault="00C25D53" w:rsidP="00925F4C">
      <w:pPr>
        <w:pStyle w:val="Titre2"/>
      </w:pPr>
      <w:bookmarkStart w:id="24" w:name="_Toc224574182"/>
      <w:r w:rsidRPr="00D4288F">
        <w:t>Les dépenses d’équipement</w:t>
      </w:r>
      <w:r w:rsidR="00F9529E" w:rsidRPr="00D4288F">
        <w:t xml:space="preserve"> – C</w:t>
      </w:r>
      <w:r w:rsidR="0056544A" w:rsidRPr="00D4288F">
        <w:t>hapitres</w:t>
      </w:r>
      <w:r w:rsidR="00F9529E" w:rsidRPr="00D4288F">
        <w:t xml:space="preserve"> 20, </w:t>
      </w:r>
      <w:r w:rsidR="0056544A" w:rsidRPr="00D4288F">
        <w:t xml:space="preserve">204, </w:t>
      </w:r>
      <w:r w:rsidR="00F9529E" w:rsidRPr="00D4288F">
        <w:t xml:space="preserve">21 et 23 : </w:t>
      </w:r>
      <w:r w:rsidR="00F43BD3" w:rsidRPr="00D4288F">
        <w:t xml:space="preserve">20 </w:t>
      </w:r>
      <w:r w:rsidR="00A950B6">
        <w:t>820</w:t>
      </w:r>
      <w:r w:rsidR="00F43BD3" w:rsidRPr="00D4288F">
        <w:t xml:space="preserve"> </w:t>
      </w:r>
      <w:r w:rsidR="00A950B6">
        <w:t>529</w:t>
      </w:r>
      <w:r w:rsidR="00F43BD3" w:rsidRPr="00D4288F">
        <w:t>,</w:t>
      </w:r>
      <w:r w:rsidR="00A950B6">
        <w:t>63</w:t>
      </w:r>
      <w:r w:rsidR="008C64BD" w:rsidRPr="00D4288F">
        <w:t xml:space="preserve"> </w:t>
      </w:r>
      <w:r w:rsidR="00F9529E" w:rsidRPr="00D4288F">
        <w:t>€</w:t>
      </w:r>
      <w:bookmarkEnd w:id="24"/>
    </w:p>
    <w:p w:rsidR="00F65FA1" w:rsidRPr="00D4288F" w:rsidRDefault="00F65FA1" w:rsidP="00925F4C">
      <w:pPr>
        <w:pStyle w:val="Titre3"/>
      </w:pPr>
      <w:bookmarkStart w:id="25" w:name="_Toc224574183"/>
      <w:r w:rsidRPr="00D4288F">
        <w:t>Les autorisations de programme votée par opération</w:t>
      </w:r>
      <w:r w:rsidR="00F9529E" w:rsidRPr="00D4288F">
        <w:t xml:space="preserve"> : </w:t>
      </w:r>
      <w:r w:rsidR="00D4288F" w:rsidRPr="00D4288F">
        <w:t>15 322 220</w:t>
      </w:r>
      <w:r w:rsidR="00F9529E" w:rsidRPr="00D4288F">
        <w:t>€</w:t>
      </w:r>
      <w:bookmarkEnd w:id="25"/>
    </w:p>
    <w:p w:rsidR="00F65FA1" w:rsidRPr="00D4288F" w:rsidRDefault="00522C24" w:rsidP="00925F4C">
      <w:pPr>
        <w:rPr>
          <w:i/>
        </w:rPr>
      </w:pPr>
      <w:r w:rsidRPr="00D4288F">
        <w:rPr>
          <w:i/>
        </w:rPr>
        <w:t xml:space="preserve">L’autorisation </w:t>
      </w:r>
      <w:r w:rsidR="00F65FA1" w:rsidRPr="00D4288F">
        <w:rPr>
          <w:i/>
        </w:rPr>
        <w:t>2019-01</w:t>
      </w:r>
      <w:r w:rsidRPr="00D4288F">
        <w:rPr>
          <w:i/>
        </w:rPr>
        <w:t xml:space="preserve"> Travaux d'amélioration de la sécurité ince</w:t>
      </w:r>
      <w:r w:rsidR="0056544A" w:rsidRPr="00D4288F">
        <w:rPr>
          <w:i/>
        </w:rPr>
        <w:t>ndie de l'Hôtel de ville</w:t>
      </w:r>
    </w:p>
    <w:p w:rsidR="00522C24" w:rsidRPr="00D4288F" w:rsidRDefault="000064E2" w:rsidP="00925F4C">
      <w:r w:rsidRPr="00D4288F">
        <w:t>L’année 202</w:t>
      </w:r>
      <w:r w:rsidR="00D4288F" w:rsidRPr="00D4288F">
        <w:t>6</w:t>
      </w:r>
      <w:r w:rsidR="00522C24" w:rsidRPr="00D4288F">
        <w:t xml:space="preserve"> permettra de clôturer l’opération de mise en sécurité incendie. Au titre de l’autorisation de programme, l’inscription pour 202</w:t>
      </w:r>
      <w:r w:rsidR="00D4288F" w:rsidRPr="00D4288F">
        <w:t>6</w:t>
      </w:r>
      <w:r w:rsidR="00522C24" w:rsidRPr="00D4288F">
        <w:t xml:space="preserve"> est estimée à </w:t>
      </w:r>
      <w:r w:rsidR="00D4288F" w:rsidRPr="00D4288F">
        <w:t>596 400</w:t>
      </w:r>
      <w:r w:rsidR="00522C24" w:rsidRPr="00D4288F">
        <w:t>€.</w:t>
      </w:r>
    </w:p>
    <w:p w:rsidR="00F65FA1" w:rsidRPr="00D4288F" w:rsidRDefault="00F65FA1" w:rsidP="00925F4C">
      <w:pPr>
        <w:rPr>
          <w:i/>
        </w:rPr>
      </w:pPr>
      <w:r w:rsidRPr="00D4288F">
        <w:rPr>
          <w:i/>
        </w:rPr>
        <w:t>2019-02</w:t>
      </w:r>
      <w:r w:rsidR="00522C24" w:rsidRPr="00D4288F">
        <w:rPr>
          <w:i/>
        </w:rPr>
        <w:t xml:space="preserve"> Requalification de l'espace Marcel Lods</w:t>
      </w:r>
    </w:p>
    <w:p w:rsidR="0069779A" w:rsidRPr="00354743" w:rsidRDefault="000064E2" w:rsidP="00925F4C">
      <w:r w:rsidRPr="00354743">
        <w:t xml:space="preserve">S’agissant des écoles Franklin et Raspail, la </w:t>
      </w:r>
      <w:r w:rsidR="00D4288F" w:rsidRPr="00354743">
        <w:t>fin d</w:t>
      </w:r>
      <w:r w:rsidRPr="00354743">
        <w:t xml:space="preserve">es travaux </w:t>
      </w:r>
      <w:r w:rsidR="00D4288F" w:rsidRPr="00354743">
        <w:t xml:space="preserve">est prévue </w:t>
      </w:r>
      <w:r w:rsidR="00354743" w:rsidRPr="00354743">
        <w:t xml:space="preserve">à ce jour </w:t>
      </w:r>
      <w:r w:rsidR="00D4288F" w:rsidRPr="00354743">
        <w:t xml:space="preserve">pour cet été. </w:t>
      </w:r>
      <w:r w:rsidR="00354743" w:rsidRPr="00354743">
        <w:t>La dépense prévisionnelle est de 10 349 921 €</w:t>
      </w:r>
    </w:p>
    <w:p w:rsidR="00524C0F" w:rsidRPr="00354743" w:rsidRDefault="0069779A" w:rsidP="00925F4C">
      <w:r w:rsidRPr="00354743">
        <w:t xml:space="preserve">S’agissant du parc, </w:t>
      </w:r>
      <w:r w:rsidR="00354743" w:rsidRPr="00354743">
        <w:t xml:space="preserve">à l’issue des consultations des entreprises, </w:t>
      </w:r>
      <w:r w:rsidR="00354743">
        <w:t xml:space="preserve">la première phase des travaux </w:t>
      </w:r>
      <w:r w:rsidR="00524C0F" w:rsidRPr="00354743">
        <w:t>du parc</w:t>
      </w:r>
      <w:r w:rsidR="00354743" w:rsidRPr="00354743">
        <w:t xml:space="preserve"> débutera mi-avril. Les montants estimés pour 2026</w:t>
      </w:r>
      <w:r w:rsidR="008F5125">
        <w:t xml:space="preserve"> </w:t>
      </w:r>
      <w:r w:rsidR="00354743" w:rsidRPr="00354743">
        <w:t>sont de l’ordre de 2 692 640 €.</w:t>
      </w:r>
    </w:p>
    <w:p w:rsidR="00524C0F" w:rsidRPr="00354743" w:rsidRDefault="00524C0F" w:rsidP="00925F4C">
      <w:r w:rsidRPr="00354743">
        <w:t xml:space="preserve">S’agissant des écoles Renan Michelet, Michelet Maternelle, et du gymnase, </w:t>
      </w:r>
      <w:r w:rsidR="00354743" w:rsidRPr="00354743">
        <w:t>les études se poursuivent. Le dépôt de permis de construire aura lieu au printemps et la consultation des entreprises à l’automne</w:t>
      </w:r>
      <w:r w:rsidRPr="00354743">
        <w:t xml:space="preserve">. Une dépense de </w:t>
      </w:r>
      <w:r w:rsidR="00354743" w:rsidRPr="00354743">
        <w:t xml:space="preserve">1 084 024 € </w:t>
      </w:r>
      <w:r w:rsidRPr="00354743">
        <w:t>est attendue sur l’exercice</w:t>
      </w:r>
      <w:r w:rsidR="00354743" w:rsidRPr="00354743">
        <w:t xml:space="preserve"> compte tenu des avances pouvant être demandées par les titulaires durant la phase de préparation de chantier.</w:t>
      </w:r>
    </w:p>
    <w:p w:rsidR="0069779A" w:rsidRPr="00354743" w:rsidRDefault="00524C0F" w:rsidP="00524C0F">
      <w:r w:rsidRPr="00354743">
        <w:t xml:space="preserve">Enfin, une enveloppe de </w:t>
      </w:r>
      <w:r w:rsidR="00354743" w:rsidRPr="00354743">
        <w:t>587 555</w:t>
      </w:r>
      <w:r w:rsidRPr="00354743">
        <w:t xml:space="preserve"> € </w:t>
      </w:r>
      <w:r w:rsidR="00354743" w:rsidRPr="00354743">
        <w:t xml:space="preserve">vise à couvrir des frais et travaux divers : </w:t>
      </w:r>
      <w:r w:rsidRPr="00354743">
        <w:t>la rémunération d</w:t>
      </w:r>
      <w:r w:rsidR="00354743" w:rsidRPr="00354743">
        <w:t>e</w:t>
      </w:r>
      <w:r w:rsidRPr="00354743">
        <w:t xml:space="preserve"> </w:t>
      </w:r>
      <w:r w:rsidR="00354743" w:rsidRPr="00354743">
        <w:t>la SPL</w:t>
      </w:r>
      <w:r w:rsidRPr="00354743">
        <w:t xml:space="preserve"> Rouen Normandie Aménagement qui assiste désormais la Ville dans cette opération d’ampleur</w:t>
      </w:r>
      <w:r w:rsidR="00354743" w:rsidRPr="00354743">
        <w:t>, mais également la dotation des écoles Franklin et Raspail en mobilier scolaire neuf.</w:t>
      </w:r>
    </w:p>
    <w:p w:rsidR="00522C24" w:rsidRPr="00F259A9" w:rsidRDefault="0069779A" w:rsidP="00925F4C">
      <w:r w:rsidRPr="00D4288F">
        <w:t>Au titre de 202</w:t>
      </w:r>
      <w:r w:rsidR="00D4288F" w:rsidRPr="00D4288F">
        <w:t>6</w:t>
      </w:r>
      <w:r w:rsidRPr="00D4288F">
        <w:t xml:space="preserve">, le montant des dépenses </w:t>
      </w:r>
      <w:r w:rsidR="00F9529E" w:rsidRPr="00D4288F">
        <w:t>inscrit au budget</w:t>
      </w:r>
      <w:r w:rsidRPr="00D4288F">
        <w:t xml:space="preserve"> est de </w:t>
      </w:r>
      <w:r w:rsidR="00D4288F" w:rsidRPr="00D4288F">
        <w:t>14 725 820</w:t>
      </w:r>
      <w:r w:rsidRPr="00D4288F">
        <w:t xml:space="preserve">€. Ce besoin pourra évoluer en cours d’année </w:t>
      </w:r>
      <w:r w:rsidR="00F9529E" w:rsidRPr="00D4288F">
        <w:t xml:space="preserve">en </w:t>
      </w:r>
      <w:r w:rsidR="00F9529E" w:rsidRPr="00F259A9">
        <w:t>fonction des résultats des consultations lancées</w:t>
      </w:r>
      <w:r w:rsidRPr="00F259A9">
        <w:t>.</w:t>
      </w:r>
    </w:p>
    <w:p w:rsidR="00F65FA1" w:rsidRPr="00F259A9" w:rsidRDefault="00F65FA1" w:rsidP="00925F4C">
      <w:pPr>
        <w:rPr>
          <w:i/>
        </w:rPr>
      </w:pPr>
      <w:r w:rsidRPr="00F259A9">
        <w:rPr>
          <w:i/>
        </w:rPr>
        <w:t>2019-03</w:t>
      </w:r>
      <w:r w:rsidR="00522C24" w:rsidRPr="00F259A9">
        <w:rPr>
          <w:i/>
        </w:rPr>
        <w:t xml:space="preserve"> Réaménagement du stade Jean Adret</w:t>
      </w:r>
    </w:p>
    <w:p w:rsidR="0069779A" w:rsidRPr="00F259A9" w:rsidRDefault="00D4288F" w:rsidP="00925F4C">
      <w:r w:rsidRPr="00F259A9">
        <w:t>Les travaux sont terminés, l’autorisation de programme sera clôturée dans l’année.</w:t>
      </w:r>
    </w:p>
    <w:p w:rsidR="00F65FA1" w:rsidRPr="00F259A9" w:rsidRDefault="00F65FA1" w:rsidP="00925F4C">
      <w:pPr>
        <w:rPr>
          <w:i/>
        </w:rPr>
      </w:pPr>
      <w:r w:rsidRPr="00F259A9">
        <w:rPr>
          <w:i/>
        </w:rPr>
        <w:t>2019-04</w:t>
      </w:r>
      <w:r w:rsidR="00522C24" w:rsidRPr="00F259A9">
        <w:rPr>
          <w:i/>
        </w:rPr>
        <w:t xml:space="preserve"> Réhabilitation énergétique de la salle des sports Aimée Lallement</w:t>
      </w:r>
    </w:p>
    <w:p w:rsidR="00F65FA1" w:rsidRPr="007227F7" w:rsidRDefault="00D4288F" w:rsidP="00925F4C">
      <w:pPr>
        <w:rPr>
          <w:highlight w:val="yellow"/>
        </w:rPr>
      </w:pPr>
      <w:r w:rsidRPr="00F259A9">
        <w:t>Les travaux sont terminés</w:t>
      </w:r>
      <w:r w:rsidRPr="00D4288F">
        <w:t>, l’autorisation de programme sera clôturée dans l’année.</w:t>
      </w:r>
    </w:p>
    <w:p w:rsidR="0041321E" w:rsidRPr="009D4831" w:rsidRDefault="0041321E" w:rsidP="00925F4C">
      <w:pPr>
        <w:pStyle w:val="Titre3"/>
      </w:pPr>
      <w:bookmarkStart w:id="26" w:name="_Toc224574184"/>
      <w:r w:rsidRPr="009D4831">
        <w:t xml:space="preserve">Les </w:t>
      </w:r>
      <w:r w:rsidR="00F65692" w:rsidRPr="009D4831">
        <w:t xml:space="preserve">nouvelles </w:t>
      </w:r>
      <w:r w:rsidRPr="009D4831">
        <w:t>opérations d’équipement</w:t>
      </w:r>
      <w:r w:rsidR="008C64BD" w:rsidRPr="009D4831">
        <w:t xml:space="preserve"> : </w:t>
      </w:r>
      <w:r w:rsidR="00A950B6" w:rsidRPr="00A950B6">
        <w:t>4 107 149</w:t>
      </w:r>
      <w:r w:rsidR="00044443" w:rsidRPr="009D4831">
        <w:t xml:space="preserve"> </w:t>
      </w:r>
      <w:r w:rsidR="008C64BD" w:rsidRPr="009D4831">
        <w:t>€</w:t>
      </w:r>
      <w:bookmarkEnd w:id="26"/>
    </w:p>
    <w:p w:rsidR="005D212F" w:rsidRPr="009D4831" w:rsidRDefault="0041321E" w:rsidP="00925F4C">
      <w:r w:rsidRPr="009D4831">
        <w:t xml:space="preserve">Ces opérations constituent les dépenses d’équipement brut (Etudes, acquisitions et travaux). </w:t>
      </w:r>
      <w:r w:rsidR="00AA4BB3" w:rsidRPr="009D4831">
        <w:t>Les</w:t>
      </w:r>
      <w:r w:rsidR="00821C50" w:rsidRPr="009D4831">
        <w:t xml:space="preserve"> nouvelles</w:t>
      </w:r>
      <w:r w:rsidR="00AA4BB3" w:rsidRPr="009D4831">
        <w:t xml:space="preserve"> dépenses </w:t>
      </w:r>
      <w:r w:rsidR="009312F6" w:rsidRPr="009D4831">
        <w:t xml:space="preserve">inscrites </w:t>
      </w:r>
      <w:r w:rsidR="00821C50" w:rsidRPr="009D4831">
        <w:t>en 20</w:t>
      </w:r>
      <w:r w:rsidR="007A3BDC" w:rsidRPr="009D4831">
        <w:t>2</w:t>
      </w:r>
      <w:r w:rsidR="009D4831" w:rsidRPr="009D4831">
        <w:t>6</w:t>
      </w:r>
      <w:r w:rsidR="007A3BDC" w:rsidRPr="009D4831">
        <w:t xml:space="preserve"> </w:t>
      </w:r>
      <w:r w:rsidRPr="009D4831">
        <w:t xml:space="preserve">s’élèvent à </w:t>
      </w:r>
      <w:r w:rsidR="00044443" w:rsidRPr="009D4831">
        <w:t>3 </w:t>
      </w:r>
      <w:r w:rsidR="009D4831" w:rsidRPr="009D4831">
        <w:t>563</w:t>
      </w:r>
      <w:r w:rsidR="00044443" w:rsidRPr="009D4831">
        <w:t xml:space="preserve"> </w:t>
      </w:r>
      <w:r w:rsidR="009D4831" w:rsidRPr="009D4831">
        <w:t>64</w:t>
      </w:r>
      <w:r w:rsidR="00044443" w:rsidRPr="009D4831">
        <w:t>6</w:t>
      </w:r>
      <w:r w:rsidRPr="009D4831">
        <w:t>€</w:t>
      </w:r>
      <w:r w:rsidR="00082E76" w:rsidRPr="009D4831">
        <w:t xml:space="preserve"> au</w:t>
      </w:r>
      <w:r w:rsidR="00CA2ADC" w:rsidRPr="009D4831">
        <w:t>x</w:t>
      </w:r>
      <w:r w:rsidR="00082E76" w:rsidRPr="009D4831">
        <w:t>quel</w:t>
      </w:r>
      <w:r w:rsidR="00CA2ADC" w:rsidRPr="009D4831">
        <w:t>les</w:t>
      </w:r>
      <w:r w:rsidR="00082E76" w:rsidRPr="009D4831">
        <w:t xml:space="preserve"> il convient d’ajouter </w:t>
      </w:r>
      <w:r w:rsidR="009D4831" w:rsidRPr="009D4831">
        <w:t>329 000 €</w:t>
      </w:r>
      <w:r w:rsidR="00082E76" w:rsidRPr="009D4831">
        <w:t xml:space="preserve"> de travaux qui seront effectués en régie par les services de la Ville</w:t>
      </w:r>
      <w:r w:rsidR="009818B9" w:rsidRPr="009D4831">
        <w:t xml:space="preserve">, soit un total de </w:t>
      </w:r>
      <w:r w:rsidR="00A950B6" w:rsidRPr="00A950B6">
        <w:t>4 436 149</w:t>
      </w:r>
      <w:r w:rsidR="004F0E53" w:rsidRPr="009D4831">
        <w:t xml:space="preserve"> </w:t>
      </w:r>
      <w:r w:rsidR="009818B9" w:rsidRPr="009D4831">
        <w:t>€</w:t>
      </w:r>
      <w:r w:rsidR="005D212F" w:rsidRPr="009D4831">
        <w:t>.</w:t>
      </w:r>
    </w:p>
    <w:p w:rsidR="003022E3" w:rsidRPr="0047271F" w:rsidRDefault="007A3BDC" w:rsidP="00925F4C">
      <w:r w:rsidRPr="0047271F">
        <w:t>Parmi le</w:t>
      </w:r>
      <w:r w:rsidR="00A86ADC" w:rsidRPr="0047271F">
        <w:t>s nouvelles opérations pour 20</w:t>
      </w:r>
      <w:r w:rsidR="009D4831" w:rsidRPr="0047271F">
        <w:t>26</w:t>
      </w:r>
      <w:r w:rsidRPr="0047271F">
        <w:t xml:space="preserve"> : </w:t>
      </w:r>
    </w:p>
    <w:p w:rsidR="008E6DDB" w:rsidRDefault="008E6DDB" w:rsidP="00925F4C">
      <w:pPr>
        <w:pStyle w:val="Paragraphedeliste"/>
        <w:numPr>
          <w:ilvl w:val="0"/>
          <w:numId w:val="34"/>
        </w:numPr>
      </w:pPr>
      <w:r w:rsidRPr="008E6DDB">
        <w:t>900K</w:t>
      </w:r>
      <w:r>
        <w:t>€</w:t>
      </w:r>
      <w:r w:rsidRPr="008E6DDB">
        <w:t xml:space="preserve"> afin d’aménager, au sein de l’Hôtel de Ville, l’ancien plateau de bureaux occupé par la trésorerie, afin d’y accueillir la direction du CCAS et des Solidarités, permettant ainsi de transférer en mairie les services de la direction de la Culture</w:t>
      </w:r>
      <w:r w:rsidR="003F522C">
        <w:t> ;</w:t>
      </w:r>
    </w:p>
    <w:p w:rsidR="003F522C" w:rsidRDefault="003F522C" w:rsidP="00925F4C">
      <w:pPr>
        <w:pStyle w:val="Paragraphedeliste"/>
        <w:numPr>
          <w:ilvl w:val="0"/>
          <w:numId w:val="34"/>
        </w:numPr>
      </w:pPr>
      <w:r>
        <w:t xml:space="preserve">222K€ au titre des aménagements de la place </w:t>
      </w:r>
      <w:proofErr w:type="spellStart"/>
      <w:r>
        <w:t>Gadeau</w:t>
      </w:r>
      <w:proofErr w:type="spellEnd"/>
      <w:r>
        <w:t xml:space="preserve"> de </w:t>
      </w:r>
      <w:proofErr w:type="spellStart"/>
      <w:r>
        <w:t>Kerville</w:t>
      </w:r>
      <w:proofErr w:type="spellEnd"/>
    </w:p>
    <w:p w:rsidR="00903887" w:rsidRPr="008E6DDB" w:rsidRDefault="00903887" w:rsidP="00925F4C">
      <w:pPr>
        <w:pStyle w:val="Paragraphedeliste"/>
        <w:numPr>
          <w:ilvl w:val="0"/>
          <w:numId w:val="34"/>
        </w:numPr>
      </w:pPr>
      <w:r>
        <w:t>150K€ au titre d’aménagements urbains, dont l’installation de mobilier, la reprise ponctuelle de voirie</w:t>
      </w:r>
    </w:p>
    <w:p w:rsidR="00283A33" w:rsidRPr="00903887" w:rsidRDefault="00903887" w:rsidP="00925F4C">
      <w:pPr>
        <w:pStyle w:val="Paragraphedeliste"/>
        <w:numPr>
          <w:ilvl w:val="0"/>
          <w:numId w:val="34"/>
        </w:numPr>
      </w:pPr>
      <w:r w:rsidRPr="00903887">
        <w:t>300</w:t>
      </w:r>
      <w:r w:rsidR="00283A33" w:rsidRPr="00903887">
        <w:t>K€ dans l’entretien des bâtiments communaux</w:t>
      </w:r>
    </w:p>
    <w:p w:rsidR="00E835AD" w:rsidRPr="00903887" w:rsidRDefault="00903887" w:rsidP="00925F4C">
      <w:pPr>
        <w:pStyle w:val="Paragraphedeliste"/>
        <w:numPr>
          <w:ilvl w:val="0"/>
          <w:numId w:val="34"/>
        </w:numPr>
      </w:pPr>
      <w:r w:rsidRPr="00903887">
        <w:t>212</w:t>
      </w:r>
      <w:r w:rsidR="00E835AD" w:rsidRPr="00903887">
        <w:t xml:space="preserve">K€ à destination des </w:t>
      </w:r>
      <w:r w:rsidR="004E6D89" w:rsidRPr="00903887">
        <w:t>équipe</w:t>
      </w:r>
      <w:r w:rsidR="00E835AD" w:rsidRPr="00903887">
        <w:t>ments culturels</w:t>
      </w:r>
      <w:r w:rsidRPr="00903887">
        <w:t xml:space="preserve"> et du patrimoine communal avec une première de travaux de toiture sur l’atelier 231 et sur l’église</w:t>
      </w:r>
    </w:p>
    <w:p w:rsidR="00E835AD" w:rsidRPr="00903887" w:rsidRDefault="003F522C" w:rsidP="00925F4C">
      <w:pPr>
        <w:pStyle w:val="Paragraphedeliste"/>
        <w:numPr>
          <w:ilvl w:val="0"/>
          <w:numId w:val="34"/>
        </w:numPr>
      </w:pPr>
      <w:r w:rsidRPr="00903887">
        <w:lastRenderedPageBreak/>
        <w:t>301</w:t>
      </w:r>
      <w:r w:rsidR="004E6D89" w:rsidRPr="00903887">
        <w:t>K</w:t>
      </w:r>
      <w:r w:rsidR="00E835AD" w:rsidRPr="00903887">
        <w:t>€ à d</w:t>
      </w:r>
      <w:r w:rsidR="004E6D89" w:rsidRPr="00903887">
        <w:t xml:space="preserve">estination des équipements scolaires autres que ceux de l’espace lods, et notamment l’école Buisson élémentaire </w:t>
      </w:r>
      <w:r w:rsidR="00852BF8" w:rsidRPr="00903887">
        <w:t xml:space="preserve">où </w:t>
      </w:r>
      <w:r w:rsidR="004E6D89" w:rsidRPr="00903887">
        <w:t>l’aire d</w:t>
      </w:r>
      <w:r w:rsidR="00903887">
        <w:t>e jeux de la cour sera remplacé, l’école Rostand, avec la poursuite de remplacement de menuiserie et reprise de salles de classe, et l’école Jaurès, où les jeux de la cour seront également remplacés</w:t>
      </w:r>
      <w:r w:rsidR="00E835AD" w:rsidRPr="00903887">
        <w:t> ;</w:t>
      </w:r>
    </w:p>
    <w:p w:rsidR="00E835AD" w:rsidRPr="00903887" w:rsidRDefault="00C93E4B" w:rsidP="00925F4C">
      <w:pPr>
        <w:pStyle w:val="Paragraphedeliste"/>
        <w:numPr>
          <w:ilvl w:val="0"/>
          <w:numId w:val="34"/>
        </w:numPr>
      </w:pPr>
      <w:r w:rsidRPr="00903887">
        <w:t>1</w:t>
      </w:r>
      <w:r w:rsidR="003F522C" w:rsidRPr="00903887">
        <w:t>04</w:t>
      </w:r>
      <w:r w:rsidR="00BD13BA" w:rsidRPr="00903887">
        <w:t>K€ au titre des équipements de la jeunesse e</w:t>
      </w:r>
      <w:r w:rsidR="00B97799" w:rsidRPr="00903887">
        <w:t>t</w:t>
      </w:r>
      <w:r w:rsidR="00BD13BA" w:rsidRPr="00903887">
        <w:t xml:space="preserve"> la petite enfance</w:t>
      </w:r>
      <w:r w:rsidR="00B97799" w:rsidRPr="00903887">
        <w:t>;</w:t>
      </w:r>
    </w:p>
    <w:p w:rsidR="00BD13BA" w:rsidRPr="00903887" w:rsidRDefault="00C93E4B" w:rsidP="00925F4C">
      <w:pPr>
        <w:pStyle w:val="Paragraphedeliste"/>
        <w:numPr>
          <w:ilvl w:val="0"/>
          <w:numId w:val="34"/>
        </w:numPr>
      </w:pPr>
      <w:r w:rsidRPr="00903887">
        <w:t>2</w:t>
      </w:r>
      <w:r w:rsidR="003F522C" w:rsidRPr="00903887">
        <w:t>00</w:t>
      </w:r>
      <w:r w:rsidR="00BD13BA" w:rsidRPr="00903887">
        <w:t>K€ pour les installation</w:t>
      </w:r>
      <w:r w:rsidR="00E12170" w:rsidRPr="00903887">
        <w:t>s</w:t>
      </w:r>
      <w:r w:rsidR="00BD13BA" w:rsidRPr="00903887">
        <w:t xml:space="preserve"> sportives, </w:t>
      </w:r>
      <w:r w:rsidRPr="00903887">
        <w:t>principalement au stade</w:t>
      </w:r>
      <w:r w:rsidR="00B97799" w:rsidRPr="00903887">
        <w:t> ;</w:t>
      </w:r>
    </w:p>
    <w:p w:rsidR="00BD13BA" w:rsidRPr="003F522C" w:rsidRDefault="003F522C" w:rsidP="00925F4C">
      <w:pPr>
        <w:pStyle w:val="Paragraphedeliste"/>
        <w:numPr>
          <w:ilvl w:val="0"/>
          <w:numId w:val="34"/>
        </w:numPr>
      </w:pPr>
      <w:r w:rsidRPr="003F522C">
        <w:t>167</w:t>
      </w:r>
      <w:r w:rsidR="00BD13BA" w:rsidRPr="003F522C">
        <w:t>K€ à destination des espaces verts et du cimetière,</w:t>
      </w:r>
    </w:p>
    <w:p w:rsidR="00BD13BA" w:rsidRPr="00903887" w:rsidRDefault="003F522C" w:rsidP="00925F4C">
      <w:pPr>
        <w:pStyle w:val="Paragraphedeliste"/>
        <w:numPr>
          <w:ilvl w:val="0"/>
          <w:numId w:val="34"/>
        </w:numPr>
      </w:pPr>
      <w:r w:rsidRPr="00903887">
        <w:t>213</w:t>
      </w:r>
      <w:r w:rsidR="00BD13BA" w:rsidRPr="00903887">
        <w:t>K€ au titre des dépenses informatiques</w:t>
      </w:r>
      <w:r w:rsidR="00B97799" w:rsidRPr="00903887">
        <w:t xml:space="preserve">, </w:t>
      </w:r>
    </w:p>
    <w:p w:rsidR="00BD13BA" w:rsidRPr="003F522C" w:rsidRDefault="003F522C" w:rsidP="00925F4C">
      <w:pPr>
        <w:pStyle w:val="Paragraphedeliste"/>
        <w:numPr>
          <w:ilvl w:val="0"/>
          <w:numId w:val="34"/>
        </w:numPr>
      </w:pPr>
      <w:r w:rsidRPr="003F522C">
        <w:t>254</w:t>
      </w:r>
      <w:r w:rsidR="00BD13BA" w:rsidRPr="003F522C">
        <w:t>K€ afin de renouveler le parc des véhicules</w:t>
      </w:r>
    </w:p>
    <w:p w:rsidR="009373E6" w:rsidRDefault="009D4831" w:rsidP="0047271F">
      <w:pPr>
        <w:pStyle w:val="Paragraphedeliste"/>
        <w:numPr>
          <w:ilvl w:val="0"/>
          <w:numId w:val="34"/>
        </w:numPr>
      </w:pPr>
      <w:r w:rsidRPr="009D4831">
        <w:t xml:space="preserve">372K€ au titre de la politique foncière, </w:t>
      </w:r>
      <w:r w:rsidR="0047271F">
        <w:t xml:space="preserve">avec le rachat à l’EPFN du 284 rue </w:t>
      </w:r>
      <w:r w:rsidR="0047271F" w:rsidRPr="0045292D">
        <w:t>Victor Hugo</w:t>
      </w:r>
      <w:r w:rsidR="00BD13BA" w:rsidRPr="0045292D">
        <w:t>.</w:t>
      </w:r>
    </w:p>
    <w:p w:rsidR="00CD1E29" w:rsidRDefault="00CD1E29" w:rsidP="00CD1E29">
      <w:pPr>
        <w:pStyle w:val="Paragraphedeliste"/>
        <w:ind w:left="1071"/>
        <w:rPr>
          <w:highlight w:val="yellow"/>
        </w:rPr>
      </w:pPr>
    </w:p>
    <w:p w:rsidR="00CD1E29" w:rsidRDefault="00CD1E29" w:rsidP="00CD1E29">
      <w:pPr>
        <w:pStyle w:val="Paragraphedeliste"/>
        <w:ind w:left="1071"/>
        <w:rPr>
          <w:highlight w:val="yellow"/>
        </w:rPr>
      </w:pPr>
    </w:p>
    <w:p w:rsidR="00CD1E29" w:rsidRPr="00CD1E29" w:rsidRDefault="00CD1E29" w:rsidP="00CD1E29">
      <w:pPr>
        <w:ind w:left="711"/>
      </w:pPr>
      <w:r w:rsidRPr="00CD1E29">
        <w:t xml:space="preserve">Parmi ces dépenses, 79 %, soit 16 571K€ participent de la politique Sotteville Engagée (ex </w:t>
      </w:r>
      <w:proofErr w:type="spellStart"/>
      <w:r w:rsidRPr="00CD1E29">
        <w:t>Citergie</w:t>
      </w:r>
      <w:proofErr w:type="spellEnd"/>
      <w:r w:rsidRPr="00CD1E29">
        <w:t>), selon la répartition suivante :</w:t>
      </w:r>
    </w:p>
    <w:tbl>
      <w:tblPr>
        <w:tblW w:w="7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77"/>
        <w:gridCol w:w="1831"/>
        <w:gridCol w:w="1194"/>
        <w:gridCol w:w="1304"/>
        <w:gridCol w:w="1235"/>
      </w:tblGrid>
      <w:tr w:rsidR="00CD1E29" w:rsidRPr="00CD1E29" w:rsidTr="00A9075C">
        <w:trPr>
          <w:trHeight w:val="1500"/>
          <w:jc w:val="center"/>
        </w:trPr>
        <w:tc>
          <w:tcPr>
            <w:tcW w:w="2177" w:type="dxa"/>
            <w:shd w:val="clear" w:color="000000" w:fill="EBF1DE"/>
            <w:vAlign w:val="center"/>
            <w:hideMark/>
          </w:tcPr>
          <w:p w:rsidR="00CD1E29" w:rsidRPr="00CD1E29" w:rsidRDefault="00CD1E29" w:rsidP="00CD1E29">
            <w:pPr>
              <w:jc w:val="center"/>
            </w:pPr>
            <w:r w:rsidRPr="00CD1E29">
              <w:t>Patrimoine et énergie</w:t>
            </w:r>
          </w:p>
        </w:tc>
        <w:tc>
          <w:tcPr>
            <w:tcW w:w="1831" w:type="dxa"/>
            <w:shd w:val="clear" w:color="000000" w:fill="EBF1DE"/>
            <w:vAlign w:val="center"/>
            <w:hideMark/>
          </w:tcPr>
          <w:p w:rsidR="00CD1E29" w:rsidRPr="00CD1E29" w:rsidRDefault="00CD1E29" w:rsidP="00CD1E29">
            <w:pPr>
              <w:jc w:val="center"/>
            </w:pPr>
            <w:r w:rsidRPr="00CD1E29">
              <w:t>Biodiversité et santé environnement</w:t>
            </w:r>
          </w:p>
        </w:tc>
        <w:tc>
          <w:tcPr>
            <w:tcW w:w="1194" w:type="dxa"/>
            <w:shd w:val="clear" w:color="000000" w:fill="EBF1DE"/>
            <w:vAlign w:val="center"/>
          </w:tcPr>
          <w:p w:rsidR="00CD1E29" w:rsidRPr="00CD1E29" w:rsidRDefault="00CD1E29" w:rsidP="00CD1E29">
            <w:pPr>
              <w:jc w:val="center"/>
            </w:pPr>
            <w:r>
              <w:t>Mobilité</w:t>
            </w:r>
          </w:p>
        </w:tc>
        <w:tc>
          <w:tcPr>
            <w:tcW w:w="1304" w:type="dxa"/>
            <w:shd w:val="clear" w:color="000000" w:fill="EBF1DE"/>
            <w:vAlign w:val="center"/>
            <w:hideMark/>
          </w:tcPr>
          <w:p w:rsidR="00CD1E29" w:rsidRPr="00CD1E29" w:rsidRDefault="00CD1E29" w:rsidP="00CD1E29">
            <w:pPr>
              <w:jc w:val="center"/>
            </w:pPr>
            <w:r w:rsidRPr="00CD1E29">
              <w:t>Alimentation déchets</w:t>
            </w:r>
          </w:p>
        </w:tc>
        <w:tc>
          <w:tcPr>
            <w:tcW w:w="1235" w:type="dxa"/>
            <w:shd w:val="clear" w:color="000000" w:fill="EBF1DE"/>
            <w:vAlign w:val="center"/>
            <w:hideMark/>
          </w:tcPr>
          <w:p w:rsidR="00CD1E29" w:rsidRPr="00CD1E29" w:rsidRDefault="00CD1E29" w:rsidP="00CD1E29">
            <w:pPr>
              <w:jc w:val="center"/>
            </w:pPr>
            <w:r w:rsidRPr="00CD1E29">
              <w:t>Implication citoyenne et partenariale</w:t>
            </w:r>
          </w:p>
        </w:tc>
      </w:tr>
      <w:tr w:rsidR="00CD1E29" w:rsidRPr="007227F7" w:rsidTr="00CD1E29">
        <w:trPr>
          <w:trHeight w:val="435"/>
          <w:jc w:val="center"/>
        </w:trPr>
        <w:tc>
          <w:tcPr>
            <w:tcW w:w="2177" w:type="dxa"/>
            <w:shd w:val="clear" w:color="000000" w:fill="EBF1DE"/>
            <w:vAlign w:val="bottom"/>
          </w:tcPr>
          <w:p w:rsidR="00CD1E29" w:rsidRPr="00CD1E29" w:rsidRDefault="00CD1E29" w:rsidP="00CD1E29">
            <w:pPr>
              <w:spacing w:before="100" w:beforeAutospacing="1" w:after="100" w:afterAutospacing="1"/>
              <w:jc w:val="center"/>
              <w:rPr>
                <w:rFonts w:cs="Calibri"/>
                <w:color w:val="000000"/>
                <w:szCs w:val="22"/>
              </w:rPr>
            </w:pPr>
            <w:r w:rsidRPr="00CD1E29">
              <w:rPr>
                <w:rFonts w:cs="Calibri"/>
                <w:color w:val="000000"/>
                <w:szCs w:val="22"/>
              </w:rPr>
              <w:t>1</w:t>
            </w:r>
            <w:r>
              <w:rPr>
                <w:rFonts w:cs="Calibri"/>
                <w:color w:val="000000"/>
                <w:szCs w:val="22"/>
              </w:rPr>
              <w:t>2</w:t>
            </w:r>
            <w:r w:rsidRPr="00CD1E29">
              <w:rPr>
                <w:rFonts w:cs="Calibri"/>
                <w:color w:val="000000"/>
                <w:szCs w:val="22"/>
              </w:rPr>
              <w:t> </w:t>
            </w:r>
            <w:r>
              <w:rPr>
                <w:rFonts w:cs="Calibri"/>
                <w:color w:val="000000"/>
                <w:szCs w:val="22"/>
              </w:rPr>
              <w:t>7</w:t>
            </w:r>
            <w:r w:rsidRPr="00CD1E29">
              <w:rPr>
                <w:rFonts w:cs="Calibri"/>
                <w:color w:val="000000"/>
                <w:szCs w:val="22"/>
              </w:rPr>
              <w:t>27 820 €</w:t>
            </w:r>
          </w:p>
        </w:tc>
        <w:tc>
          <w:tcPr>
            <w:tcW w:w="1831" w:type="dxa"/>
            <w:shd w:val="clear" w:color="000000" w:fill="EBF1DE"/>
            <w:vAlign w:val="bottom"/>
          </w:tcPr>
          <w:p w:rsidR="00CD1E29" w:rsidRPr="00CD1E29" w:rsidRDefault="00CD1E29" w:rsidP="00CD1E29">
            <w:pPr>
              <w:spacing w:before="100" w:beforeAutospacing="1" w:after="100" w:afterAutospacing="1"/>
              <w:jc w:val="center"/>
              <w:rPr>
                <w:rFonts w:cs="Calibri"/>
                <w:color w:val="000000"/>
                <w:szCs w:val="22"/>
              </w:rPr>
            </w:pPr>
            <w:r w:rsidRPr="00CD1E29">
              <w:rPr>
                <w:rFonts w:cs="Calibri"/>
                <w:color w:val="000000"/>
                <w:szCs w:val="22"/>
              </w:rPr>
              <w:t>2</w:t>
            </w:r>
            <w:r>
              <w:rPr>
                <w:rFonts w:cs="Calibri"/>
                <w:color w:val="000000"/>
                <w:szCs w:val="22"/>
              </w:rPr>
              <w:t xml:space="preserve"> 7</w:t>
            </w:r>
            <w:r w:rsidRPr="00CD1E29">
              <w:rPr>
                <w:rFonts w:cs="Calibri"/>
                <w:color w:val="000000"/>
                <w:szCs w:val="22"/>
              </w:rPr>
              <w:t>62000 €</w:t>
            </w:r>
          </w:p>
        </w:tc>
        <w:tc>
          <w:tcPr>
            <w:tcW w:w="1194" w:type="dxa"/>
            <w:shd w:val="clear" w:color="000000" w:fill="EBF1DE"/>
            <w:vAlign w:val="bottom"/>
          </w:tcPr>
          <w:p w:rsidR="00CD1E29" w:rsidRPr="00CD1E29" w:rsidRDefault="00CD1E29" w:rsidP="00CD1E29">
            <w:pPr>
              <w:spacing w:before="100" w:beforeAutospacing="1" w:after="100" w:afterAutospacing="1"/>
              <w:jc w:val="center"/>
              <w:rPr>
                <w:rFonts w:cs="Calibri"/>
                <w:color w:val="000000"/>
                <w:szCs w:val="22"/>
              </w:rPr>
            </w:pPr>
            <w:r>
              <w:rPr>
                <w:rFonts w:cs="Calibri"/>
                <w:color w:val="000000"/>
                <w:szCs w:val="22"/>
              </w:rPr>
              <w:t>88</w:t>
            </w:r>
            <w:r w:rsidRPr="00CD1E29">
              <w:rPr>
                <w:rFonts w:cs="Calibri"/>
                <w:color w:val="000000"/>
                <w:szCs w:val="22"/>
              </w:rPr>
              <w:t> 000 €</w:t>
            </w:r>
          </w:p>
        </w:tc>
        <w:tc>
          <w:tcPr>
            <w:tcW w:w="1304" w:type="dxa"/>
            <w:shd w:val="clear" w:color="000000" w:fill="EBF1DE"/>
            <w:vAlign w:val="bottom"/>
          </w:tcPr>
          <w:p w:rsidR="00CD1E29" w:rsidRPr="00CD1E29" w:rsidRDefault="00CD1E29" w:rsidP="00CD1E29">
            <w:pPr>
              <w:spacing w:before="100" w:beforeAutospacing="1" w:after="100" w:afterAutospacing="1"/>
              <w:jc w:val="center"/>
              <w:rPr>
                <w:rFonts w:cs="Calibri"/>
                <w:color w:val="000000"/>
                <w:szCs w:val="22"/>
              </w:rPr>
            </w:pPr>
            <w:r>
              <w:rPr>
                <w:rFonts w:cs="Calibri"/>
                <w:color w:val="000000"/>
                <w:szCs w:val="22"/>
              </w:rPr>
              <w:t>88</w:t>
            </w:r>
            <w:r w:rsidRPr="00CD1E29">
              <w:rPr>
                <w:rFonts w:cs="Calibri"/>
                <w:color w:val="000000"/>
                <w:szCs w:val="22"/>
              </w:rPr>
              <w:t> 000 €</w:t>
            </w:r>
          </w:p>
        </w:tc>
        <w:tc>
          <w:tcPr>
            <w:tcW w:w="1235" w:type="dxa"/>
            <w:shd w:val="clear" w:color="000000" w:fill="EBF1DE"/>
            <w:vAlign w:val="bottom"/>
          </w:tcPr>
          <w:p w:rsidR="00CD1E29" w:rsidRDefault="00CD1E29" w:rsidP="00CD1E29">
            <w:pPr>
              <w:spacing w:before="100" w:beforeAutospacing="1" w:after="100" w:afterAutospacing="1"/>
              <w:jc w:val="center"/>
              <w:rPr>
                <w:rFonts w:cs="Calibri"/>
                <w:color w:val="000000"/>
                <w:szCs w:val="22"/>
              </w:rPr>
            </w:pPr>
            <w:r w:rsidRPr="00CD1E29">
              <w:rPr>
                <w:rFonts w:cs="Calibri"/>
                <w:color w:val="000000"/>
                <w:szCs w:val="22"/>
              </w:rPr>
              <w:t>6 000 €</w:t>
            </w:r>
          </w:p>
        </w:tc>
      </w:tr>
    </w:tbl>
    <w:p w:rsidR="00CD1E29" w:rsidRDefault="00CD1E29" w:rsidP="00CD1E29">
      <w:bookmarkStart w:id="27" w:name="_GoBack"/>
      <w:bookmarkEnd w:id="27"/>
    </w:p>
    <w:p w:rsidR="00CD1E29" w:rsidRPr="0045292D" w:rsidRDefault="00CD1E29" w:rsidP="00CD1E29"/>
    <w:p w:rsidR="00C25D53" w:rsidRPr="0045292D" w:rsidRDefault="00C25D53" w:rsidP="00925F4C">
      <w:pPr>
        <w:pStyle w:val="Titre3"/>
      </w:pPr>
      <w:bookmarkStart w:id="28" w:name="_Toc224574185"/>
      <w:r w:rsidRPr="0045292D">
        <w:t xml:space="preserve">Les subventions d’investissement – Chapitre 204 : </w:t>
      </w:r>
      <w:r w:rsidR="00903887" w:rsidRPr="0045292D">
        <w:t>55</w:t>
      </w:r>
      <w:r w:rsidR="00A86ADC" w:rsidRPr="0045292D">
        <w:t xml:space="preserve"> 000</w:t>
      </w:r>
      <w:r w:rsidR="00CE0EF8" w:rsidRPr="0045292D">
        <w:t>,</w:t>
      </w:r>
      <w:r w:rsidRPr="0045292D">
        <w:t>00 €</w:t>
      </w:r>
      <w:bookmarkEnd w:id="28"/>
    </w:p>
    <w:p w:rsidR="00C25D53" w:rsidRPr="0045292D" w:rsidRDefault="00C25D53" w:rsidP="00925F4C">
      <w:r w:rsidRPr="0045292D">
        <w:t xml:space="preserve">Ce chapitre retrace les versements de subventions d’investissement versées, mais également les participations financières à des conventions foncières avec des bailleurs sociaux. </w:t>
      </w:r>
    </w:p>
    <w:p w:rsidR="00C25D53" w:rsidRPr="0045292D" w:rsidRDefault="00C25D53" w:rsidP="00925F4C">
      <w:r w:rsidRPr="0045292D">
        <w:t>Pour 202</w:t>
      </w:r>
      <w:r w:rsidR="0045292D" w:rsidRPr="0045292D">
        <w:t>5</w:t>
      </w:r>
      <w:r w:rsidRPr="0045292D">
        <w:t xml:space="preserve">, il est anticipé le versement de subventions d’investissement à plusieurs associations pour l’achat d’équipement, à hauteur de </w:t>
      </w:r>
      <w:r w:rsidR="0045292D" w:rsidRPr="0045292D">
        <w:t>15</w:t>
      </w:r>
      <w:r w:rsidRPr="0045292D">
        <w:t>K</w:t>
      </w:r>
      <w:r w:rsidR="00283A33" w:rsidRPr="0045292D">
        <w:t>€</w:t>
      </w:r>
      <w:r w:rsidR="0045292D" w:rsidRPr="0045292D">
        <w:t xml:space="preserve"> et une participation fonds friche pour le site </w:t>
      </w:r>
      <w:proofErr w:type="spellStart"/>
      <w:r w:rsidR="0045292D" w:rsidRPr="0045292D">
        <w:t>Contremoulins</w:t>
      </w:r>
      <w:proofErr w:type="spellEnd"/>
      <w:r w:rsidR="0045292D" w:rsidRPr="0045292D">
        <w:t xml:space="preserve"> à hauteur de 40K€</w:t>
      </w:r>
      <w:r w:rsidR="00621594" w:rsidRPr="0045292D">
        <w:t>.</w:t>
      </w:r>
    </w:p>
    <w:p w:rsidR="00821C50" w:rsidRPr="0045292D" w:rsidRDefault="00821C50" w:rsidP="00925F4C">
      <w:pPr>
        <w:pStyle w:val="Titre3"/>
      </w:pPr>
      <w:bookmarkStart w:id="29" w:name="_Toc224574186"/>
      <w:r w:rsidRPr="0045292D">
        <w:t xml:space="preserve">Les restes à réaliser des opérations d’équipement – </w:t>
      </w:r>
      <w:r w:rsidR="0056544A" w:rsidRPr="0045292D">
        <w:t>Chapitres</w:t>
      </w:r>
      <w:r w:rsidRPr="0045292D">
        <w:t xml:space="preserve"> 20, </w:t>
      </w:r>
      <w:r w:rsidR="00C25D53" w:rsidRPr="0045292D">
        <w:t xml:space="preserve">204, </w:t>
      </w:r>
      <w:r w:rsidRPr="0045292D">
        <w:t xml:space="preserve">21 et 23 : </w:t>
      </w:r>
      <w:r w:rsidR="0045292D" w:rsidRPr="0045292D">
        <w:t>1 391 160,58 €</w:t>
      </w:r>
      <w:bookmarkEnd w:id="29"/>
    </w:p>
    <w:p w:rsidR="00821C50" w:rsidRPr="0045292D" w:rsidRDefault="00821C50" w:rsidP="00925F4C">
      <w:r w:rsidRPr="0045292D">
        <w:t>Ces opérations ont été engagées juridiquement mais sont encore en cours d’exécution et ne sont pas soldées</w:t>
      </w:r>
      <w:r w:rsidR="009D0869" w:rsidRPr="0045292D">
        <w:t xml:space="preserve">. </w:t>
      </w:r>
      <w:r w:rsidR="0045292D" w:rsidRPr="0045292D">
        <w:br/>
      </w:r>
      <w:r w:rsidR="009D0869" w:rsidRPr="0045292D">
        <w:t>Il s’agit principalement de travaux (ex les factures non parvenues au 31/12) mais il peut également s’agir de matériel dont la livraison et la facture afférente est toujours attendue (ex : l’achat de véhicules)</w:t>
      </w:r>
      <w:r w:rsidR="00C25D53" w:rsidRPr="0045292D">
        <w:t>, ou encore de subventions d’investissement restant à verser</w:t>
      </w:r>
      <w:r w:rsidR="009D0869" w:rsidRPr="0045292D">
        <w:t>.</w:t>
      </w:r>
      <w:r w:rsidR="00CE0EF8" w:rsidRPr="0045292D">
        <w:t xml:space="preserve"> Les crédits mobilisés au titre des autorisations de programme ne figurent pas ici.</w:t>
      </w:r>
    </w:p>
    <w:p w:rsidR="00C25D53" w:rsidRPr="0045292D" w:rsidRDefault="00C25D53" w:rsidP="00925F4C"/>
    <w:p w:rsidR="00522C24" w:rsidRPr="007227F7" w:rsidRDefault="00522C24" w:rsidP="00925F4C">
      <w:pPr>
        <w:rPr>
          <w:highlight w:val="yellow"/>
        </w:rPr>
      </w:pPr>
    </w:p>
    <w:p w:rsidR="0041321E" w:rsidRPr="0045292D" w:rsidRDefault="0041321E" w:rsidP="00925F4C">
      <w:pPr>
        <w:pStyle w:val="Titre2"/>
      </w:pPr>
      <w:bookmarkStart w:id="30" w:name="_Toc224574187"/>
      <w:r w:rsidRPr="0045292D">
        <w:t>Les emprunts et dettes – Chapitre 16</w:t>
      </w:r>
      <w:r w:rsidR="00CA1A43" w:rsidRPr="0045292D">
        <w:t xml:space="preserve"> : </w:t>
      </w:r>
      <w:r w:rsidR="009818B9" w:rsidRPr="0045292D">
        <w:t>2</w:t>
      </w:r>
      <w:r w:rsidR="002A7BAA" w:rsidRPr="0045292D">
        <w:t> </w:t>
      </w:r>
      <w:r w:rsidR="0045292D" w:rsidRPr="0045292D">
        <w:t>515</w:t>
      </w:r>
      <w:r w:rsidR="0056544A" w:rsidRPr="0045292D">
        <w:t> </w:t>
      </w:r>
      <w:r w:rsidR="0045292D" w:rsidRPr="0045292D">
        <w:t>244</w:t>
      </w:r>
      <w:r w:rsidR="0056544A" w:rsidRPr="0045292D">
        <w:t>,00</w:t>
      </w:r>
      <w:r w:rsidR="001D3146" w:rsidRPr="0045292D">
        <w:t xml:space="preserve"> </w:t>
      </w:r>
      <w:r w:rsidR="00CA1A43" w:rsidRPr="0045292D">
        <w:t>€</w:t>
      </w:r>
      <w:bookmarkEnd w:id="30"/>
    </w:p>
    <w:p w:rsidR="000A456E" w:rsidRPr="0045292D" w:rsidRDefault="0041321E" w:rsidP="00925F4C">
      <w:r w:rsidRPr="0045292D">
        <w:t>Ce chapitre retrace</w:t>
      </w:r>
      <w:r w:rsidR="00A318B9" w:rsidRPr="0045292D">
        <w:t xml:space="preserve"> </w:t>
      </w:r>
      <w:r w:rsidRPr="0045292D">
        <w:t>le montant du rembo</w:t>
      </w:r>
      <w:r w:rsidR="00AC279B" w:rsidRPr="0045292D">
        <w:t>ursement en capital de la dette.</w:t>
      </w:r>
      <w:r w:rsidR="00A318B9" w:rsidRPr="0045292D">
        <w:t xml:space="preserve"> Le montant inscrit au budget prend en compte une estimation du remboursement en capital du nouvel emprunt qui sera contracté en cours d’exercice.</w:t>
      </w:r>
    </w:p>
    <w:p w:rsidR="00345E48" w:rsidRPr="00AE46FB" w:rsidRDefault="00345E48" w:rsidP="00925F4C">
      <w:pPr>
        <w:pStyle w:val="Titre2"/>
      </w:pPr>
      <w:bookmarkStart w:id="31" w:name="_Toc224574188"/>
      <w:r w:rsidRPr="00AE46FB">
        <w:t xml:space="preserve">Les autres immobilisations financières – Chapitre 27 : </w:t>
      </w:r>
      <w:r w:rsidR="00484522" w:rsidRPr="00AE46FB">
        <w:t>5</w:t>
      </w:r>
      <w:r w:rsidR="00E605D4" w:rsidRPr="00AE46FB">
        <w:t xml:space="preserve"> 00</w:t>
      </w:r>
      <w:r w:rsidR="00362982" w:rsidRPr="00AE46FB">
        <w:t>0,00</w:t>
      </w:r>
      <w:r w:rsidRPr="00AE46FB">
        <w:t>€</w:t>
      </w:r>
      <w:bookmarkEnd w:id="31"/>
    </w:p>
    <w:p w:rsidR="00250DB4" w:rsidRPr="007227F7" w:rsidRDefault="0045292D" w:rsidP="0045292D">
      <w:pPr>
        <w:ind w:firstLine="708"/>
        <w:rPr>
          <w:highlight w:val="yellow"/>
        </w:rPr>
      </w:pPr>
      <w:r>
        <w:t>Figurent à ce chapitre les sommes versées à des tiers, à titre de garantie ou de cautionnement, indisponibles jusqu’à la réalisation d’une condition suspensive : c’est le cas des dépôts de garantie (loyers ou crédit-bail), des cautions pour logement de fonction, des consignations.</w:t>
      </w:r>
      <w:r w:rsidR="00AE46FB">
        <w:t xml:space="preserve"> Une somme de 5000€ est inscrite au titre d’un dépôt de garantie.</w:t>
      </w:r>
    </w:p>
    <w:p w:rsidR="00AA7D80" w:rsidRPr="007227F7" w:rsidRDefault="00AA7D80" w:rsidP="00925F4C">
      <w:pPr>
        <w:rPr>
          <w:highlight w:val="yellow"/>
        </w:rPr>
      </w:pPr>
    </w:p>
    <w:p w:rsidR="001C3202" w:rsidRPr="007227F7" w:rsidRDefault="001C3202" w:rsidP="00925F4C">
      <w:pPr>
        <w:rPr>
          <w:highlight w:val="yellow"/>
        </w:rPr>
      </w:pPr>
    </w:p>
    <w:p w:rsidR="00FC49A4" w:rsidRPr="00AE46FB" w:rsidRDefault="00FC49A4" w:rsidP="00003E99">
      <w:pPr>
        <w:pStyle w:val="Titre1"/>
      </w:pPr>
      <w:bookmarkStart w:id="32" w:name="_Toc224574189"/>
      <w:r w:rsidRPr="00AE46FB">
        <w:t xml:space="preserve">Le </w:t>
      </w:r>
      <w:r w:rsidR="00383CA2" w:rsidRPr="00AE46FB">
        <w:t>solde d’exécution de la section d’</w:t>
      </w:r>
      <w:r w:rsidRPr="00AE46FB">
        <w:t>investissement  de 202</w:t>
      </w:r>
      <w:r w:rsidR="00A950B6">
        <w:t>5</w:t>
      </w:r>
      <w:r w:rsidRPr="00AE46FB">
        <w:t xml:space="preserve"> reporté – chapitre 001 – </w:t>
      </w:r>
      <w:r w:rsidR="00AE46FB" w:rsidRPr="00AE46FB">
        <w:t>1 531 138,26 €</w:t>
      </w:r>
      <w:bookmarkEnd w:id="32"/>
    </w:p>
    <w:p w:rsidR="008E1D76" w:rsidRPr="007227F7" w:rsidRDefault="008E1D76" w:rsidP="00925F4C">
      <w:pPr>
        <w:rPr>
          <w:highlight w:val="yellow"/>
        </w:rPr>
      </w:pPr>
    </w:p>
    <w:p w:rsidR="0041321E" w:rsidRPr="00AE46FB" w:rsidRDefault="008E1D76" w:rsidP="00003E99">
      <w:pPr>
        <w:pStyle w:val="Titre1"/>
      </w:pPr>
      <w:r w:rsidRPr="007227F7">
        <w:rPr>
          <w:highlight w:val="yellow"/>
        </w:rPr>
        <w:br w:type="page"/>
      </w:r>
      <w:bookmarkStart w:id="33" w:name="_Toc224574190"/>
      <w:r w:rsidR="0041321E" w:rsidRPr="00AE46FB">
        <w:lastRenderedPageBreak/>
        <w:t>LES RECETTES</w:t>
      </w:r>
      <w:r w:rsidR="008730CE" w:rsidRPr="00AE46FB">
        <w:t xml:space="preserve"> D’INVESTISSEMENT</w:t>
      </w:r>
      <w:bookmarkEnd w:id="33"/>
    </w:p>
    <w:p w:rsidR="00AA7D80" w:rsidRPr="00AE46FB" w:rsidRDefault="00AA7D80" w:rsidP="00003E99">
      <w:pPr>
        <w:pStyle w:val="Titre1"/>
      </w:pPr>
      <w:bookmarkStart w:id="34" w:name="_Toc224574191"/>
      <w:r w:rsidRPr="00AE46FB">
        <w:t xml:space="preserve">Virement depuis la section de fonctionnement – Chapitre 021 : </w:t>
      </w:r>
      <w:r w:rsidR="0074584A" w:rsidRPr="00AE46FB">
        <w:br/>
      </w:r>
      <w:bookmarkEnd w:id="34"/>
      <w:r w:rsidR="00D609B5" w:rsidRPr="00D609B5">
        <w:t>8 320 953,05 €</w:t>
      </w:r>
    </w:p>
    <w:p w:rsidR="00983194" w:rsidRPr="00AE46FB" w:rsidRDefault="00983194" w:rsidP="00925F4C">
      <w:pPr>
        <w:pStyle w:val="Titre2"/>
      </w:pPr>
      <w:bookmarkStart w:id="35" w:name="_Toc224574192"/>
      <w:r w:rsidRPr="00AE46FB">
        <w:t xml:space="preserve">Cessions – Chapitre 024 : </w:t>
      </w:r>
      <w:r w:rsidR="00AE46FB" w:rsidRPr="00AE46FB">
        <w:t>60</w:t>
      </w:r>
      <w:r w:rsidRPr="00AE46FB">
        <w:t xml:space="preserve"> 000,00€</w:t>
      </w:r>
      <w:bookmarkEnd w:id="35"/>
    </w:p>
    <w:p w:rsidR="00983194" w:rsidRPr="00AE46FB" w:rsidRDefault="00983194" w:rsidP="00925F4C">
      <w:r w:rsidRPr="00AE46FB">
        <w:t xml:space="preserve">Les projets de cession de patrimoine sont inscrits budgétairement en recette d’investissement au présent chapitre. C’est un chapitre budgétaire qui ne connaît pas d’exécution : </w:t>
      </w:r>
      <w:r w:rsidR="00383CA2" w:rsidRPr="00AE46FB">
        <w:t>lorsqu’elles se réalisent</w:t>
      </w:r>
      <w:r w:rsidRPr="00AE46FB">
        <w:t>, les cessions sont inscrites  au compte 775 (au chapitre 77).</w:t>
      </w:r>
    </w:p>
    <w:p w:rsidR="00983194" w:rsidRPr="00AE46FB" w:rsidRDefault="00983194" w:rsidP="00925F4C">
      <w:r w:rsidRPr="00AE46FB">
        <w:t>Pour 202</w:t>
      </w:r>
      <w:r w:rsidR="00AE46FB" w:rsidRPr="00AE46FB">
        <w:t>6</w:t>
      </w:r>
      <w:r w:rsidR="00FC49A4" w:rsidRPr="00AE46FB">
        <w:t xml:space="preserve">, </w:t>
      </w:r>
      <w:r w:rsidR="00AE46FB" w:rsidRPr="00AE46FB">
        <w:t>une cession à titre onéreux est attendue :</w:t>
      </w:r>
    </w:p>
    <w:p w:rsidR="00FC49A4" w:rsidRPr="00AE46FB" w:rsidRDefault="00AE46FB" w:rsidP="00AE46FB">
      <w:pPr>
        <w:pStyle w:val="Paragraphedeliste"/>
        <w:numPr>
          <w:ilvl w:val="0"/>
          <w:numId w:val="34"/>
        </w:numPr>
      </w:pPr>
      <w:r w:rsidRPr="00AE46FB">
        <w:t>18 rue Victor Hugo pour 60 000€</w:t>
      </w:r>
      <w:r w:rsidR="00FC49A4" w:rsidRPr="00AE46FB">
        <w:t> ;</w:t>
      </w:r>
    </w:p>
    <w:p w:rsidR="0041321E" w:rsidRPr="00AE46FB" w:rsidRDefault="0041321E" w:rsidP="00925F4C">
      <w:pPr>
        <w:pStyle w:val="Titre2"/>
      </w:pPr>
      <w:bookmarkStart w:id="36" w:name="_Toc224574193"/>
      <w:r w:rsidRPr="00AE46FB">
        <w:t xml:space="preserve">Les dotations, fonds divers et réserves – </w:t>
      </w:r>
      <w:r w:rsidR="00654AC5" w:rsidRPr="00AE46FB">
        <w:t>Chapitre</w:t>
      </w:r>
      <w:r w:rsidRPr="00AE46FB">
        <w:t xml:space="preserve"> </w:t>
      </w:r>
      <w:r w:rsidR="006E4F36" w:rsidRPr="00AE46FB">
        <w:t xml:space="preserve">10 : </w:t>
      </w:r>
      <w:r w:rsidR="00141D24" w:rsidRPr="00AE46FB">
        <w:t xml:space="preserve">2 </w:t>
      </w:r>
      <w:r w:rsidR="00AE46FB" w:rsidRPr="00AE46FB">
        <w:t>569 650,03</w:t>
      </w:r>
      <w:r w:rsidR="00141D24" w:rsidRPr="00AE46FB">
        <w:t xml:space="preserve"> €</w:t>
      </w:r>
      <w:r w:rsidR="00654AC5" w:rsidRPr="00AE46FB">
        <w:t> :</w:t>
      </w:r>
      <w:bookmarkEnd w:id="36"/>
      <w:r w:rsidR="00654AC5" w:rsidRPr="00AE46FB">
        <w:t xml:space="preserve"> </w:t>
      </w:r>
    </w:p>
    <w:p w:rsidR="00654AC5" w:rsidRPr="00AE46FB" w:rsidRDefault="008A2D0A" w:rsidP="00925F4C">
      <w:r w:rsidRPr="00AE46FB">
        <w:t>Les recettes sont composées de l’excédent de fonctionnement capitalisé</w:t>
      </w:r>
      <w:r w:rsidR="006E406F" w:rsidRPr="00AE46FB">
        <w:t>, le cas échéant</w:t>
      </w:r>
      <w:r w:rsidRPr="00AE46FB">
        <w:t xml:space="preserve">, et du FCTVA, estimé </w:t>
      </w:r>
      <w:r w:rsidR="00925F4C" w:rsidRPr="00AE46FB">
        <w:br/>
      </w:r>
      <w:r w:rsidR="00AE46FB" w:rsidRPr="00AE46FB">
        <w:t>88</w:t>
      </w:r>
      <w:r w:rsidR="00C839F7" w:rsidRPr="00AE46FB">
        <w:t>0</w:t>
      </w:r>
      <w:r w:rsidR="006E406F" w:rsidRPr="00AE46FB">
        <w:t xml:space="preserve"> 000</w:t>
      </w:r>
      <w:r w:rsidRPr="00AE46FB">
        <w:t>,00€.</w:t>
      </w:r>
    </w:p>
    <w:p w:rsidR="00C839F7" w:rsidRPr="00AE46FB" w:rsidRDefault="00C839F7" w:rsidP="00925F4C">
      <w:r w:rsidRPr="00AE46FB">
        <w:t xml:space="preserve">Dans le cadre de l’affectation du résultat </w:t>
      </w:r>
      <w:r w:rsidR="00AE46FB" w:rsidRPr="00AE46FB">
        <w:t xml:space="preserve">de </w:t>
      </w:r>
      <w:r w:rsidRPr="00AE46FB">
        <w:t>202</w:t>
      </w:r>
      <w:r w:rsidR="00AE46FB" w:rsidRPr="00AE46FB">
        <w:t>5</w:t>
      </w:r>
      <w:r w:rsidRPr="00AE46FB">
        <w:t>, la part du résultat de fonctionnement 202</w:t>
      </w:r>
      <w:r w:rsidR="00AE46FB" w:rsidRPr="00AE46FB">
        <w:t>5</w:t>
      </w:r>
      <w:r w:rsidRPr="00AE46FB">
        <w:t xml:space="preserve"> affectée à l’investissement pour financer le besoin de financement de la section d’investissement en 202</w:t>
      </w:r>
      <w:r w:rsidR="00AE46FB" w:rsidRPr="00AE46FB">
        <w:t>5</w:t>
      </w:r>
      <w:r w:rsidRPr="00AE46FB">
        <w:t xml:space="preserve">, c’est-à-dire les « excédents capitalisés », s’élève à </w:t>
      </w:r>
      <w:r w:rsidR="00AE46FB" w:rsidRPr="00AE46FB">
        <w:t>1 689 650,03 €</w:t>
      </w:r>
      <w:r w:rsidR="00925F4C" w:rsidRPr="00AE46FB">
        <w:t>.</w:t>
      </w:r>
    </w:p>
    <w:p w:rsidR="006E406F" w:rsidRPr="001A71BA" w:rsidRDefault="006E406F" w:rsidP="00925F4C">
      <w:pPr>
        <w:pStyle w:val="Titre2"/>
      </w:pPr>
      <w:bookmarkStart w:id="37" w:name="_Toc224574194"/>
      <w:r w:rsidRPr="001A71BA">
        <w:t xml:space="preserve">Les subventions d’équipement – Chapitre 13 : </w:t>
      </w:r>
      <w:r w:rsidR="00AE46FB" w:rsidRPr="001A71BA">
        <w:t>4 983 660,00 €</w:t>
      </w:r>
      <w:r w:rsidR="00CA0CAB" w:rsidRPr="001A71BA">
        <w:t xml:space="preserve"> au BP ; </w:t>
      </w:r>
      <w:r w:rsidR="00AE46FB" w:rsidRPr="001A71BA">
        <w:t>1 232 648,81 €</w:t>
      </w:r>
      <w:r w:rsidR="00383CA2" w:rsidRPr="001A71BA">
        <w:t xml:space="preserve"> </w:t>
      </w:r>
      <w:r w:rsidR="00CA0CAB" w:rsidRPr="001A71BA">
        <w:t>en RAR</w:t>
      </w:r>
      <w:bookmarkEnd w:id="37"/>
    </w:p>
    <w:p w:rsidR="00241C5D" w:rsidRPr="001A71BA" w:rsidRDefault="006E406F" w:rsidP="00925F4C">
      <w:r w:rsidRPr="001A71BA">
        <w:t xml:space="preserve">Ce chapitre représente les subventions dont </w:t>
      </w:r>
      <w:r w:rsidR="00976881" w:rsidRPr="001A71BA">
        <w:t xml:space="preserve">l’accord de principe est obtenu dans l’année et dont </w:t>
      </w:r>
      <w:r w:rsidRPr="001A71BA">
        <w:t>le versement effectif des fonds est attendu avant le 31 décembre 202</w:t>
      </w:r>
      <w:r w:rsidR="00AE46FB" w:rsidRPr="001A71BA">
        <w:t>6</w:t>
      </w:r>
      <w:r w:rsidRPr="001A71BA">
        <w:t xml:space="preserve">. </w:t>
      </w:r>
    </w:p>
    <w:p w:rsidR="00241C5D" w:rsidRPr="001A71BA" w:rsidRDefault="00241C5D" w:rsidP="00925F4C">
      <w:pPr>
        <w:rPr>
          <w:szCs w:val="24"/>
        </w:rPr>
      </w:pPr>
      <w:r w:rsidRPr="001A71BA">
        <w:t>Les accords de principe enregistrés avant le 1</w:t>
      </w:r>
      <w:r w:rsidRPr="001A71BA">
        <w:rPr>
          <w:vertAlign w:val="superscript"/>
        </w:rPr>
        <w:t>er</w:t>
      </w:r>
      <w:r w:rsidRPr="001A71BA">
        <w:t xml:space="preserve"> janvier 202</w:t>
      </w:r>
      <w:r w:rsidR="00484522" w:rsidRPr="001A71BA">
        <w:t>5</w:t>
      </w:r>
      <w:r w:rsidRPr="001A71BA">
        <w:t xml:space="preserve"> sont généralement déjà enregistrés au titre des restes à réaliser : ils diminueront au fur à mesure des versements reçus/des réalisations. Ils participent déjà à l’équilibre budgétaire. </w:t>
      </w:r>
    </w:p>
    <w:p w:rsidR="00241C5D" w:rsidRPr="001A71BA" w:rsidRDefault="00AE46FB" w:rsidP="00925F4C">
      <w:r w:rsidRPr="001A71BA">
        <w:t xml:space="preserve">Cependant, dans le cadre du déroulé du projet Lods, l’inscription en restes à réaliser en recette de l’ensemble des accords de principe viendrait bouleverser les équilibres budgétaires : en effet, la Ville bénéficie déjà </w:t>
      </w:r>
      <w:r w:rsidR="001A71BA" w:rsidRPr="001A71BA">
        <w:t>d’accords de principe à hauteur de 13 686K€ s’agissant du projet Franklin Raspail et du parc et des écoles Renan et Michelet</w:t>
      </w:r>
      <w:r w:rsidR="00241C5D" w:rsidRPr="001A71BA">
        <w:t>.</w:t>
      </w:r>
      <w:r w:rsidR="001A71BA" w:rsidRPr="001A71BA">
        <w:t xml:space="preserve"> En miroir des crédits des autorisations de programme en dépenses, les sommes inscrites en recettes, hors RAR donc, correspondent aux versements de subvention attendus pour 2026 dans le cadre du projet Lods</w:t>
      </w:r>
      <w:r w:rsidR="000F73C5">
        <w:t xml:space="preserve">, à l’exception de deux d’entre elles </w:t>
      </w:r>
      <w:proofErr w:type="spellStart"/>
      <w:r w:rsidR="000F73C5">
        <w:t>realtives</w:t>
      </w:r>
      <w:proofErr w:type="spellEnd"/>
      <w:r w:rsidR="000F73C5">
        <w:t xml:space="preserve"> à la rénovation des écoles Franklin et Raspail (</w:t>
      </w:r>
      <w:proofErr w:type="spellStart"/>
      <w:r w:rsidR="000F73C5">
        <w:t>cf</w:t>
      </w:r>
      <w:proofErr w:type="spellEnd"/>
      <w:r w:rsidR="000F73C5">
        <w:t xml:space="preserve"> ci-après)</w:t>
      </w:r>
      <w:r w:rsidR="001A71BA" w:rsidRPr="001A71BA">
        <w:t xml:space="preserve">. </w:t>
      </w:r>
    </w:p>
    <w:p w:rsidR="00241C5D" w:rsidRPr="001A71BA" w:rsidRDefault="00976881" w:rsidP="00925F4C">
      <w:pPr>
        <w:rPr>
          <w:szCs w:val="24"/>
        </w:rPr>
      </w:pPr>
      <w:r w:rsidRPr="001A71BA">
        <w:t>Il n’est à ce stade pas connu d</w:t>
      </w:r>
      <w:r w:rsidR="00241C5D" w:rsidRPr="001A71BA">
        <w:t xml:space="preserve">’autre </w:t>
      </w:r>
      <w:r w:rsidRPr="001A71BA">
        <w:t xml:space="preserve">subvention </w:t>
      </w:r>
      <w:r w:rsidR="00241C5D" w:rsidRPr="001A71BA">
        <w:t xml:space="preserve">nouvelle </w:t>
      </w:r>
      <w:r w:rsidR="00CA0CAB" w:rsidRPr="001A71BA">
        <w:t xml:space="preserve">dont le versement serait effectué dans ces délais. La Ville a d’ores et déjà déposé plusieurs dossiers qui sont encore en cours d’instruction ; à défaut d’accord dûment notifié, ils ne </w:t>
      </w:r>
      <w:r w:rsidR="00241C5D" w:rsidRPr="001A71BA">
        <w:t>font pas</w:t>
      </w:r>
      <w:r w:rsidR="00CA0CAB" w:rsidRPr="001A71BA">
        <w:t xml:space="preserve"> l’objet d’une inscription dans le cadre de ce budget</w:t>
      </w:r>
      <w:r w:rsidRPr="001A71BA">
        <w:t>.</w:t>
      </w:r>
      <w:r w:rsidR="00241C5D" w:rsidRPr="001A71BA">
        <w:rPr>
          <w:szCs w:val="24"/>
        </w:rPr>
        <w:t xml:space="preserve"> </w:t>
      </w:r>
    </w:p>
    <w:p w:rsidR="00925F4C" w:rsidRPr="007227F7" w:rsidRDefault="00925F4C">
      <w:pPr>
        <w:spacing w:after="0"/>
        <w:jc w:val="left"/>
        <w:rPr>
          <w:i/>
          <w:sz w:val="24"/>
          <w:highlight w:val="yellow"/>
          <w:u w:val="single"/>
        </w:rPr>
      </w:pPr>
      <w:r w:rsidRPr="007227F7">
        <w:rPr>
          <w:highlight w:val="yellow"/>
        </w:rPr>
        <w:br w:type="page"/>
      </w:r>
    </w:p>
    <w:p w:rsidR="00FC49A4" w:rsidRPr="00AC3925" w:rsidRDefault="00FC49A4" w:rsidP="00925F4C">
      <w:pPr>
        <w:pStyle w:val="Titre3"/>
      </w:pPr>
      <w:bookmarkStart w:id="38" w:name="_Toc224574195"/>
      <w:r w:rsidRPr="00AC3925">
        <w:lastRenderedPageBreak/>
        <w:t xml:space="preserve">Les restes à réaliser : </w:t>
      </w:r>
      <w:r w:rsidR="000F73C5" w:rsidRPr="00AC3925">
        <w:t>1 232 648,81 €</w:t>
      </w:r>
      <w:r w:rsidRPr="00AC3925">
        <w:t> :</w:t>
      </w:r>
      <w:bookmarkEnd w:id="38"/>
    </w:p>
    <w:p w:rsidR="00976881" w:rsidRPr="00AC3925" w:rsidRDefault="00DE1A35" w:rsidP="00925F4C">
      <w:r w:rsidRPr="00AC3925">
        <w:t>L</w:t>
      </w:r>
      <w:r w:rsidR="00241C5D" w:rsidRPr="00AC3925">
        <w:t xml:space="preserve">es restes à réaliser de subvention s’élèvent à </w:t>
      </w:r>
      <w:r w:rsidR="000F73C5" w:rsidRPr="00AC3925">
        <w:t>1 232 648,81 €</w:t>
      </w:r>
      <w:r w:rsidRPr="00AC3925">
        <w:t xml:space="preserve"> </w:t>
      </w:r>
      <w:r w:rsidR="00241C5D" w:rsidRPr="00AC3925">
        <w:t xml:space="preserve"> et se décomposent ainsi :</w:t>
      </w:r>
    </w:p>
    <w:bookmarkStart w:id="39" w:name="_MON_1707134762"/>
    <w:bookmarkEnd w:id="39"/>
    <w:p w:rsidR="006E406F" w:rsidRPr="007227F7" w:rsidRDefault="00AC3925" w:rsidP="00925F4C">
      <w:pPr>
        <w:rPr>
          <w:highlight w:val="yellow"/>
        </w:rPr>
      </w:pPr>
      <w:r w:rsidRPr="00AC3925">
        <w:object w:dxaOrig="10339" w:dyaOrig="3681">
          <v:shape id="_x0000_i1026" type="#_x0000_t75" style="width:516.55pt;height:185pt" o:ole="">
            <v:imagedata r:id="rId14" o:title=""/>
          </v:shape>
          <o:OLEObject Type="Embed" ProgID="Excel.Sheet.12" ShapeID="_x0000_i1026" DrawAspect="Content" ObjectID="_1836195769" r:id="rId15"/>
        </w:object>
      </w:r>
    </w:p>
    <w:p w:rsidR="0041321E" w:rsidRPr="00AC3925" w:rsidRDefault="0041321E" w:rsidP="00925F4C">
      <w:pPr>
        <w:pStyle w:val="Titre2"/>
      </w:pPr>
      <w:bookmarkStart w:id="40" w:name="_Toc224574196"/>
      <w:r w:rsidRPr="00AC3925">
        <w:t>Les emprunts et dettes – Chapitre 16</w:t>
      </w:r>
      <w:r w:rsidR="006E4F36" w:rsidRPr="00AC3925">
        <w:t xml:space="preserve"> : </w:t>
      </w:r>
      <w:r w:rsidR="00AC3925">
        <w:t>5</w:t>
      </w:r>
      <w:r w:rsidR="00DA3DA9" w:rsidRPr="00AC3925">
        <w:t xml:space="preserve"> </w:t>
      </w:r>
      <w:r w:rsidR="00AC3925">
        <w:t>5</w:t>
      </w:r>
      <w:r w:rsidR="00DA3DA9" w:rsidRPr="00AC3925">
        <w:t>0</w:t>
      </w:r>
      <w:r w:rsidR="00383CA2" w:rsidRPr="00AC3925">
        <w:t>0 00</w:t>
      </w:r>
      <w:r w:rsidR="00976881" w:rsidRPr="00AC3925">
        <w:t>0,00</w:t>
      </w:r>
      <w:r w:rsidR="006E4F36" w:rsidRPr="00AC3925">
        <w:t>€</w:t>
      </w:r>
      <w:r w:rsidR="00AC3925">
        <w:t xml:space="preserve"> au BP</w:t>
      </w:r>
      <w:bookmarkEnd w:id="40"/>
    </w:p>
    <w:p w:rsidR="007B6092" w:rsidRPr="00AC3925" w:rsidRDefault="00DA3DA9" w:rsidP="00925F4C">
      <w:r w:rsidRPr="00AC3925">
        <w:t>Un emprunt sera réalisé en 202</w:t>
      </w:r>
      <w:r w:rsidR="00AC3925">
        <w:t>6</w:t>
      </w:r>
      <w:r w:rsidRPr="00AC3925">
        <w:t xml:space="preserve"> à hauteur de </w:t>
      </w:r>
      <w:r w:rsidR="00AC3925">
        <w:t>5</w:t>
      </w:r>
      <w:r w:rsidRPr="00AC3925">
        <w:t> </w:t>
      </w:r>
      <w:r w:rsidR="00AC3925">
        <w:t>5</w:t>
      </w:r>
      <w:r w:rsidRPr="00AC3925">
        <w:t>00 000 €.</w:t>
      </w:r>
      <w:r w:rsidR="00383CA2" w:rsidRPr="00AC3925">
        <w:t xml:space="preserve"> </w:t>
      </w:r>
      <w:r w:rsidRPr="00AC3925">
        <w:t>L</w:t>
      </w:r>
      <w:r w:rsidR="00383CA2" w:rsidRPr="00AC3925">
        <w:t>’emprunt étant supérieure au capital remboursé dans l’année (21</w:t>
      </w:r>
      <w:r w:rsidRPr="00AC3925">
        <w:t>30</w:t>
      </w:r>
      <w:r w:rsidR="00383CA2" w:rsidRPr="00AC3925">
        <w:t xml:space="preserve">K€), la collectivité s’endettera à hauteur de la différence (soit </w:t>
      </w:r>
      <w:r w:rsidR="00AC3925">
        <w:t>2985</w:t>
      </w:r>
      <w:r w:rsidR="00383CA2" w:rsidRPr="00AC3925">
        <w:t>K€)</w:t>
      </w:r>
    </w:p>
    <w:p w:rsidR="0095208A" w:rsidRPr="00AC3925" w:rsidRDefault="0095208A" w:rsidP="00925F4C">
      <w:pPr>
        <w:pStyle w:val="Titre2"/>
      </w:pPr>
      <w:bookmarkStart w:id="41" w:name="_Toc224574197"/>
      <w:r w:rsidRPr="00AC3925">
        <w:t xml:space="preserve">Les autres immobilisations financières– Compte 27 – </w:t>
      </w:r>
      <w:r w:rsidR="00AC3925" w:rsidRPr="00AC3925">
        <w:t>43 000</w:t>
      </w:r>
      <w:r w:rsidR="00DA3DA9" w:rsidRPr="00AC3925">
        <w:t>,</w:t>
      </w:r>
      <w:r w:rsidR="00983194" w:rsidRPr="00AC3925">
        <w:t>00 €</w:t>
      </w:r>
      <w:bookmarkEnd w:id="41"/>
      <w:r w:rsidRPr="00AC3925">
        <w:t xml:space="preserve"> </w:t>
      </w:r>
    </w:p>
    <w:p w:rsidR="000C6859" w:rsidRPr="00AC3925" w:rsidRDefault="0095208A" w:rsidP="00925F4C">
      <w:r w:rsidRPr="00AC3925">
        <w:t xml:space="preserve">Il s’agit pour partie de la quote-part de remboursement de capital de dette que la Métropole reverse à la commune suite aux transferts de compétences, mais également des recettes liées aux opérations de consignations. </w:t>
      </w:r>
    </w:p>
    <w:p w:rsidR="00D70F6A" w:rsidRPr="007227F7" w:rsidRDefault="00D70F6A" w:rsidP="00925F4C">
      <w:pPr>
        <w:rPr>
          <w:highlight w:val="yellow"/>
        </w:rPr>
      </w:pPr>
    </w:p>
    <w:p w:rsidR="007B6092" w:rsidRPr="00AC3925" w:rsidRDefault="007B6092" w:rsidP="00003E99">
      <w:pPr>
        <w:pStyle w:val="Titre1"/>
      </w:pPr>
      <w:bookmarkStart w:id="42" w:name="_Toc224574198"/>
      <w:r w:rsidRPr="00AC3925">
        <w:t xml:space="preserve">Les opérations de transferts entre sections – Chapitre 040  Dépenses : </w:t>
      </w:r>
      <w:r w:rsidR="00AC3925" w:rsidRPr="00AC3925">
        <w:t>489 0</w:t>
      </w:r>
      <w:r w:rsidR="004F0E53" w:rsidRPr="00AC3925">
        <w:t>00</w:t>
      </w:r>
      <w:r w:rsidR="00FB7579" w:rsidRPr="00AC3925">
        <w:t xml:space="preserve">,00 </w:t>
      </w:r>
      <w:r w:rsidRPr="00AC3925">
        <w:t xml:space="preserve">€ - Recettes : </w:t>
      </w:r>
      <w:r w:rsidR="00DA3DA9" w:rsidRPr="00AC3925">
        <w:t xml:space="preserve">2 </w:t>
      </w:r>
      <w:r w:rsidR="00AC3925" w:rsidRPr="00AC3925">
        <w:t>706</w:t>
      </w:r>
      <w:r w:rsidR="00FB7579" w:rsidRPr="00AC3925">
        <w:t> </w:t>
      </w:r>
      <w:r w:rsidR="00D70F6A" w:rsidRPr="00AC3925">
        <w:t>0</w:t>
      </w:r>
      <w:r w:rsidR="004B0240" w:rsidRPr="00AC3925">
        <w:t>00</w:t>
      </w:r>
      <w:r w:rsidR="00FB7579" w:rsidRPr="00AC3925">
        <w:t xml:space="preserve">,00 </w:t>
      </w:r>
      <w:r w:rsidRPr="00AC3925">
        <w:t>€</w:t>
      </w:r>
      <w:bookmarkEnd w:id="42"/>
    </w:p>
    <w:p w:rsidR="007B6092" w:rsidRPr="00AC3925" w:rsidRDefault="007B6092" w:rsidP="00925F4C">
      <w:r w:rsidRPr="00AC3925">
        <w:t>Comme indiqué précédemment, ces opérations comptables sont la contrepartie du chapitre 042 de de la section de fonctionnement. Elles regroupent les dotations aux amortissements</w:t>
      </w:r>
      <w:r w:rsidR="00141D24" w:rsidRPr="00AC3925">
        <w:t>, les provisions,</w:t>
      </w:r>
      <w:r w:rsidRPr="00AC3925">
        <w:t xml:space="preserve"> ainsi que la neutralisation des différentes cessions et du coût des fournitures relatif aux travaux en régie. </w:t>
      </w:r>
    </w:p>
    <w:p w:rsidR="00035FF6" w:rsidRPr="00AC3925" w:rsidRDefault="00035FF6" w:rsidP="00003E99">
      <w:pPr>
        <w:pStyle w:val="Titre1"/>
      </w:pPr>
      <w:bookmarkStart w:id="43" w:name="_Toc224574199"/>
      <w:r w:rsidRPr="00AC3925">
        <w:t>Les opérations de patrimoniales – Chapitre 041</w:t>
      </w:r>
      <w:r w:rsidR="00B7234D" w:rsidRPr="00AC3925">
        <w:t xml:space="preserve"> : </w:t>
      </w:r>
      <w:r w:rsidR="00DA3DA9" w:rsidRPr="00AC3925">
        <w:t>7</w:t>
      </w:r>
      <w:r w:rsidR="004F0E53" w:rsidRPr="00AC3925">
        <w:t>00</w:t>
      </w:r>
      <w:r w:rsidR="00C45A2B" w:rsidRPr="00AC3925">
        <w:t xml:space="preserve"> 000</w:t>
      </w:r>
      <w:r w:rsidR="00FB7579" w:rsidRPr="00AC3925">
        <w:t>,00</w:t>
      </w:r>
      <w:r w:rsidR="00B7234D" w:rsidRPr="00AC3925">
        <w:t>€ en dépenses et en recettes</w:t>
      </w:r>
      <w:bookmarkEnd w:id="43"/>
    </w:p>
    <w:p w:rsidR="0050654F" w:rsidRPr="00AC3925" w:rsidRDefault="00035FF6" w:rsidP="00925F4C">
      <w:r w:rsidRPr="00AC3925">
        <w:t>Ce chapitre regroupe l’ensemble des opération</w:t>
      </w:r>
      <w:r w:rsidR="00791AA0" w:rsidRPr="00AC3925">
        <w:t>s</w:t>
      </w:r>
      <w:r w:rsidRPr="00AC3925">
        <w:t xml:space="preserve"> semi-budgétaires </w:t>
      </w:r>
      <w:r w:rsidR="00791AA0" w:rsidRPr="00AC3925">
        <w:t xml:space="preserve">internes à la section d’investissement. Il retrace des opérations comptables liées au patrimoine, telles que </w:t>
      </w:r>
      <w:r w:rsidR="00F13052" w:rsidRPr="00AC3925">
        <w:t xml:space="preserve">le changement d’imputation des immobilisations, </w:t>
      </w:r>
      <w:r w:rsidR="00791AA0" w:rsidRPr="00AC3925">
        <w:t xml:space="preserve">les subventions versées </w:t>
      </w:r>
      <w:r w:rsidR="00F13052" w:rsidRPr="00AC3925">
        <w:t xml:space="preserve">(ou reçues) </w:t>
      </w:r>
      <w:r w:rsidR="00791AA0" w:rsidRPr="00AC3925">
        <w:t>à l’euro symbolique</w:t>
      </w:r>
      <w:r w:rsidR="00F13052" w:rsidRPr="00AC3925">
        <w:t xml:space="preserve">, etc. Les opérations concernées sont nécessairement équilibrées en recettes et en dépense et </w:t>
      </w:r>
      <w:r w:rsidR="008C1FFC" w:rsidRPr="00AC3925">
        <w:t>n’entraîne pas de mouvement de flux financier.</w:t>
      </w:r>
    </w:p>
    <w:p w:rsidR="00E605D4" w:rsidRPr="007227F7" w:rsidRDefault="00E605D4" w:rsidP="00925F4C">
      <w:pPr>
        <w:rPr>
          <w:highlight w:val="yellow"/>
        </w:rPr>
      </w:pPr>
    </w:p>
    <w:p w:rsidR="00E605D4" w:rsidRPr="007227F7" w:rsidRDefault="00E605D4" w:rsidP="00925F4C">
      <w:pPr>
        <w:rPr>
          <w:highlight w:val="yellow"/>
        </w:rPr>
      </w:pPr>
    </w:p>
    <w:p w:rsidR="00EC7EDD" w:rsidRPr="007227F7" w:rsidRDefault="00EC7EDD" w:rsidP="00925F4C">
      <w:pPr>
        <w:rPr>
          <w:sz w:val="16"/>
          <w:szCs w:val="16"/>
          <w:highlight w:val="yellow"/>
        </w:rPr>
      </w:pPr>
      <w:r w:rsidRPr="007227F7">
        <w:rPr>
          <w:highlight w:val="yellow"/>
        </w:rPr>
        <w:br w:type="page"/>
      </w:r>
    </w:p>
    <w:p w:rsidR="007B6092" w:rsidRDefault="00DE6CE2" w:rsidP="00925F4C">
      <w:pPr>
        <w:pStyle w:val="Titre"/>
      </w:pPr>
      <w:bookmarkStart w:id="44" w:name="_Toc224574200"/>
      <w:r w:rsidRPr="00AC3925">
        <w:lastRenderedPageBreak/>
        <w:t>EQUILIBRE DU BUDGET 202</w:t>
      </w:r>
      <w:r w:rsidR="00AC3925" w:rsidRPr="00AC3925">
        <w:t>6</w:t>
      </w:r>
      <w:bookmarkEnd w:id="44"/>
    </w:p>
    <w:bookmarkStart w:id="45" w:name="_MON_1835182916"/>
    <w:bookmarkEnd w:id="45"/>
    <w:p w:rsidR="00A63BFC" w:rsidRPr="00A63BFC" w:rsidRDefault="00F77073" w:rsidP="00A63BFC">
      <w:r>
        <w:object w:dxaOrig="10129" w:dyaOrig="8567">
          <v:shape id="_x0000_i1027" type="#_x0000_t75" style="width:507.35pt;height:427.8pt" o:ole="">
            <v:imagedata r:id="rId16" o:title=""/>
          </v:shape>
          <o:OLEObject Type="Embed" ProgID="Excel.Sheet.12" ShapeID="_x0000_i1027" DrawAspect="Content" ObjectID="_1836195770" r:id="rId17"/>
        </w:object>
      </w:r>
    </w:p>
    <w:p w:rsidR="00EE719D" w:rsidRDefault="00EE719D" w:rsidP="00A63BFC">
      <w:pPr>
        <w:pStyle w:val="resume1"/>
        <w:rPr>
          <w:i w:val="0"/>
        </w:rPr>
      </w:pPr>
    </w:p>
    <w:p w:rsidR="007C57D6" w:rsidRPr="00BB5145" w:rsidRDefault="007C57D6" w:rsidP="00A63BFC">
      <w:pPr>
        <w:pStyle w:val="resume1"/>
        <w:rPr>
          <w:i w:val="0"/>
        </w:rPr>
      </w:pPr>
    </w:p>
    <w:sectPr w:rsidR="007C57D6" w:rsidRPr="00BB5145" w:rsidSect="006E6C14">
      <w:footerReference w:type="default" r:id="rId18"/>
      <w:headerReference w:type="first" r:id="rId19"/>
      <w:pgSz w:w="11907" w:h="16840" w:code="9"/>
      <w:pgMar w:top="1134" w:right="851" w:bottom="1134" w:left="85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6FB" w:rsidRDefault="00AE46FB" w:rsidP="00925F4C">
      <w:r>
        <w:separator/>
      </w:r>
    </w:p>
  </w:endnote>
  <w:endnote w:type="continuationSeparator" w:id="0">
    <w:p w:rsidR="00AE46FB" w:rsidRDefault="00AE46FB" w:rsidP="0092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Arial"/>
    <w:charset w:val="00"/>
    <w:family w:val="swiss"/>
    <w:pitch w:val="variable"/>
    <w:sig w:usb0="00000001"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6FB" w:rsidRDefault="00AE46FB" w:rsidP="00925F4C">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AE46FB" w:rsidRDefault="00AE46FB" w:rsidP="00925F4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6FB" w:rsidRDefault="00AE46FB" w:rsidP="00925F4C">
    <w:pPr>
      <w:pStyle w:val="Pieddepage"/>
      <w:rPr>
        <w:rStyle w:val="Numrodepage"/>
      </w:rPr>
    </w:pPr>
  </w:p>
  <w:p w:rsidR="00AE46FB" w:rsidRDefault="00AE46FB" w:rsidP="00925F4C">
    <w:pPr>
      <w:pStyle w:val="Pieddepage"/>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r>
      <w:rPr>
        <w:rStyle w:val="Numrodepage"/>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6FB" w:rsidRDefault="00AE46FB" w:rsidP="00925F4C">
    <w:pPr>
      <w:pStyle w:val="Pieddepage"/>
      <w:rPr>
        <w:rStyle w:val="Numrodepage"/>
      </w:rPr>
    </w:pPr>
  </w:p>
  <w:p w:rsidR="00AE46FB" w:rsidRDefault="00AE46FB" w:rsidP="00925F4C">
    <w:pPr>
      <w:pStyle w:val="Pieddepage"/>
    </w:pPr>
    <w:r>
      <w:rPr>
        <w:rStyle w:val="Numrodepage"/>
      </w:rPr>
      <w:fldChar w:fldCharType="begin"/>
    </w:r>
    <w:r>
      <w:rPr>
        <w:rStyle w:val="Numrodepage"/>
      </w:rPr>
      <w:instrText xml:space="preserve">PAGE  </w:instrText>
    </w:r>
    <w:r>
      <w:rPr>
        <w:rStyle w:val="Numrodepage"/>
      </w:rPr>
      <w:fldChar w:fldCharType="separate"/>
    </w:r>
    <w:r w:rsidR="00CD1E29">
      <w:rPr>
        <w:rStyle w:val="Numrodepage"/>
        <w:noProof/>
      </w:rPr>
      <w:t>14</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6FB" w:rsidRDefault="00AE46FB" w:rsidP="00925F4C">
      <w:r>
        <w:separator/>
      </w:r>
    </w:p>
  </w:footnote>
  <w:footnote w:type="continuationSeparator" w:id="0">
    <w:p w:rsidR="00AE46FB" w:rsidRDefault="00AE46FB" w:rsidP="00925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6FB" w:rsidRDefault="00AE46FB" w:rsidP="00925F4C">
    <w:pPr>
      <w:pStyle w:val="En-tte"/>
      <w:rPr>
        <w:rStyle w:val="Numrodepage"/>
      </w:rPr>
    </w:pPr>
    <w:r>
      <w:rPr>
        <w:rStyle w:val="Numrodepage"/>
      </w:rPr>
      <w:fldChar w:fldCharType="begin"/>
    </w:r>
    <w:r>
      <w:rPr>
        <w:rStyle w:val="Numrodepage"/>
      </w:rPr>
      <w:instrText xml:space="preserve">PAGE  </w:instrText>
    </w:r>
    <w:r>
      <w:rPr>
        <w:rStyle w:val="Numrodepage"/>
      </w:rPr>
      <w:fldChar w:fldCharType="end"/>
    </w:r>
  </w:p>
  <w:p w:rsidR="00AE46FB" w:rsidRDefault="00AE46FB" w:rsidP="00925F4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6FB" w:rsidRDefault="00AE46FB" w:rsidP="00925F4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1C1D"/>
    <w:multiLevelType w:val="hybridMultilevel"/>
    <w:tmpl w:val="CB6C66D2"/>
    <w:lvl w:ilvl="0" w:tplc="DC24EAF2">
      <w:start w:val="24"/>
      <w:numFmt w:val="bullet"/>
      <w:lvlText w:val="-"/>
      <w:lvlJc w:val="left"/>
      <w:pPr>
        <w:ind w:left="720" w:hanging="360"/>
      </w:pPr>
      <w:rPr>
        <w:rFonts w:ascii="Franklin Gothic Book" w:eastAsia="Times New Roman"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930E69"/>
    <w:multiLevelType w:val="hybridMultilevel"/>
    <w:tmpl w:val="A95A57A6"/>
    <w:lvl w:ilvl="0" w:tplc="C5FE3946">
      <w:numFmt w:val="bullet"/>
      <w:lvlText w:val="-"/>
      <w:lvlJc w:val="left"/>
      <w:pPr>
        <w:ind w:left="927" w:hanging="360"/>
      </w:pPr>
      <w:rPr>
        <w:rFonts w:ascii="Calibri" w:eastAsia="Times New Roman" w:hAnsi="Calibri"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nsid w:val="072A021F"/>
    <w:multiLevelType w:val="hybridMultilevel"/>
    <w:tmpl w:val="5824F730"/>
    <w:lvl w:ilvl="0" w:tplc="3FBC72A4">
      <w:numFmt w:val="bullet"/>
      <w:lvlText w:val="-"/>
      <w:lvlJc w:val="left"/>
      <w:pPr>
        <w:ind w:left="927" w:hanging="360"/>
      </w:pPr>
      <w:rPr>
        <w:rFonts w:ascii="Calibri" w:eastAsia="Times New Roman" w:hAnsi="Calibri"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nsid w:val="07AC1320"/>
    <w:multiLevelType w:val="hybridMultilevel"/>
    <w:tmpl w:val="130AE494"/>
    <w:lvl w:ilvl="0" w:tplc="F522C314">
      <w:start w:val="3"/>
      <w:numFmt w:val="bullet"/>
      <w:lvlText w:val="-"/>
      <w:lvlJc w:val="left"/>
      <w:pPr>
        <w:tabs>
          <w:tab w:val="num" w:pos="1069"/>
        </w:tabs>
        <w:ind w:left="1069" w:hanging="360"/>
      </w:pPr>
      <w:rPr>
        <w:rFonts w:ascii="Times New Roman" w:eastAsia="Times New Roman" w:hAnsi="Times New Roman" w:cs="Times New Roman" w:hint="default"/>
      </w:rPr>
    </w:lvl>
    <w:lvl w:ilvl="1" w:tplc="69BA76AE">
      <w:start w:val="1"/>
      <w:numFmt w:val="bullet"/>
      <w:lvlText w:val="o"/>
      <w:lvlJc w:val="left"/>
      <w:pPr>
        <w:tabs>
          <w:tab w:val="num" w:pos="1789"/>
        </w:tabs>
        <w:ind w:left="1789" w:hanging="360"/>
      </w:pPr>
      <w:rPr>
        <w:rFonts w:ascii="Courier New" w:hAnsi="Courier New" w:cs="Courier New" w:hint="default"/>
      </w:rPr>
    </w:lvl>
    <w:lvl w:ilvl="2" w:tplc="7D24726C" w:tentative="1">
      <w:start w:val="1"/>
      <w:numFmt w:val="bullet"/>
      <w:lvlText w:val=""/>
      <w:lvlJc w:val="left"/>
      <w:pPr>
        <w:tabs>
          <w:tab w:val="num" w:pos="2509"/>
        </w:tabs>
        <w:ind w:left="2509" w:hanging="360"/>
      </w:pPr>
      <w:rPr>
        <w:rFonts w:ascii="Wingdings" w:hAnsi="Wingdings" w:hint="default"/>
      </w:rPr>
    </w:lvl>
    <w:lvl w:ilvl="3" w:tplc="FD3A64A8" w:tentative="1">
      <w:start w:val="1"/>
      <w:numFmt w:val="bullet"/>
      <w:lvlText w:val=""/>
      <w:lvlJc w:val="left"/>
      <w:pPr>
        <w:tabs>
          <w:tab w:val="num" w:pos="3229"/>
        </w:tabs>
        <w:ind w:left="3229" w:hanging="360"/>
      </w:pPr>
      <w:rPr>
        <w:rFonts w:ascii="Symbol" w:hAnsi="Symbol" w:hint="default"/>
      </w:rPr>
    </w:lvl>
    <w:lvl w:ilvl="4" w:tplc="F2AA1714" w:tentative="1">
      <w:start w:val="1"/>
      <w:numFmt w:val="bullet"/>
      <w:lvlText w:val="o"/>
      <w:lvlJc w:val="left"/>
      <w:pPr>
        <w:tabs>
          <w:tab w:val="num" w:pos="3949"/>
        </w:tabs>
        <w:ind w:left="3949" w:hanging="360"/>
      </w:pPr>
      <w:rPr>
        <w:rFonts w:ascii="Courier New" w:hAnsi="Courier New" w:cs="Courier New" w:hint="default"/>
      </w:rPr>
    </w:lvl>
    <w:lvl w:ilvl="5" w:tplc="A09ABFFC" w:tentative="1">
      <w:start w:val="1"/>
      <w:numFmt w:val="bullet"/>
      <w:lvlText w:val=""/>
      <w:lvlJc w:val="left"/>
      <w:pPr>
        <w:tabs>
          <w:tab w:val="num" w:pos="4669"/>
        </w:tabs>
        <w:ind w:left="4669" w:hanging="360"/>
      </w:pPr>
      <w:rPr>
        <w:rFonts w:ascii="Wingdings" w:hAnsi="Wingdings" w:hint="default"/>
      </w:rPr>
    </w:lvl>
    <w:lvl w:ilvl="6" w:tplc="AE1041C0" w:tentative="1">
      <w:start w:val="1"/>
      <w:numFmt w:val="bullet"/>
      <w:lvlText w:val=""/>
      <w:lvlJc w:val="left"/>
      <w:pPr>
        <w:tabs>
          <w:tab w:val="num" w:pos="5389"/>
        </w:tabs>
        <w:ind w:left="5389" w:hanging="360"/>
      </w:pPr>
      <w:rPr>
        <w:rFonts w:ascii="Symbol" w:hAnsi="Symbol" w:hint="default"/>
      </w:rPr>
    </w:lvl>
    <w:lvl w:ilvl="7" w:tplc="F8BA8A5A" w:tentative="1">
      <w:start w:val="1"/>
      <w:numFmt w:val="bullet"/>
      <w:lvlText w:val="o"/>
      <w:lvlJc w:val="left"/>
      <w:pPr>
        <w:tabs>
          <w:tab w:val="num" w:pos="6109"/>
        </w:tabs>
        <w:ind w:left="6109" w:hanging="360"/>
      </w:pPr>
      <w:rPr>
        <w:rFonts w:ascii="Courier New" w:hAnsi="Courier New" w:cs="Courier New" w:hint="default"/>
      </w:rPr>
    </w:lvl>
    <w:lvl w:ilvl="8" w:tplc="03DC5428" w:tentative="1">
      <w:start w:val="1"/>
      <w:numFmt w:val="bullet"/>
      <w:lvlText w:val=""/>
      <w:lvlJc w:val="left"/>
      <w:pPr>
        <w:tabs>
          <w:tab w:val="num" w:pos="6829"/>
        </w:tabs>
        <w:ind w:left="6829" w:hanging="360"/>
      </w:pPr>
      <w:rPr>
        <w:rFonts w:ascii="Wingdings" w:hAnsi="Wingdings" w:hint="default"/>
      </w:rPr>
    </w:lvl>
  </w:abstractNum>
  <w:abstractNum w:abstractNumId="4">
    <w:nsid w:val="129E7772"/>
    <w:multiLevelType w:val="hybridMultilevel"/>
    <w:tmpl w:val="C9042980"/>
    <w:lvl w:ilvl="0" w:tplc="7ABE51F6">
      <w:start w:val="16"/>
      <w:numFmt w:val="bullet"/>
      <w:lvlText w:val="-"/>
      <w:lvlJc w:val="left"/>
      <w:pPr>
        <w:ind w:left="927"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nsid w:val="17AF4926"/>
    <w:multiLevelType w:val="hybridMultilevel"/>
    <w:tmpl w:val="F8C423EA"/>
    <w:lvl w:ilvl="0" w:tplc="DC24EAF2">
      <w:start w:val="24"/>
      <w:numFmt w:val="bullet"/>
      <w:lvlText w:val="-"/>
      <w:lvlJc w:val="left"/>
      <w:pPr>
        <w:ind w:left="927" w:hanging="360"/>
      </w:pPr>
      <w:rPr>
        <w:rFonts w:ascii="Franklin Gothic Book" w:eastAsia="Times New Roman" w:hAnsi="Franklin Gothic Book"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nsid w:val="18AE08BD"/>
    <w:multiLevelType w:val="hybridMultilevel"/>
    <w:tmpl w:val="D9507714"/>
    <w:lvl w:ilvl="0" w:tplc="E8DA7B7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C9691C"/>
    <w:multiLevelType w:val="hybridMultilevel"/>
    <w:tmpl w:val="083888A0"/>
    <w:lvl w:ilvl="0" w:tplc="65BC7796">
      <w:start w:val="2"/>
      <w:numFmt w:val="bullet"/>
      <w:lvlText w:val="-"/>
      <w:lvlJc w:val="left"/>
      <w:pPr>
        <w:tabs>
          <w:tab w:val="num" w:pos="1774"/>
        </w:tabs>
        <w:ind w:left="1774" w:hanging="360"/>
      </w:pPr>
      <w:rPr>
        <w:rFonts w:ascii="Times New Roman" w:eastAsia="Times New Roman" w:hAnsi="Times New Roman" w:cs="Times New Roman" w:hint="default"/>
      </w:rPr>
    </w:lvl>
    <w:lvl w:ilvl="1" w:tplc="040C0003" w:tentative="1">
      <w:start w:val="1"/>
      <w:numFmt w:val="bullet"/>
      <w:lvlText w:val="o"/>
      <w:lvlJc w:val="left"/>
      <w:pPr>
        <w:tabs>
          <w:tab w:val="num" w:pos="2494"/>
        </w:tabs>
        <w:ind w:left="2494" w:hanging="360"/>
      </w:pPr>
      <w:rPr>
        <w:rFonts w:ascii="Courier New" w:hAnsi="Courier New" w:hint="default"/>
      </w:rPr>
    </w:lvl>
    <w:lvl w:ilvl="2" w:tplc="040C0005" w:tentative="1">
      <w:start w:val="1"/>
      <w:numFmt w:val="bullet"/>
      <w:lvlText w:val=""/>
      <w:lvlJc w:val="left"/>
      <w:pPr>
        <w:tabs>
          <w:tab w:val="num" w:pos="3214"/>
        </w:tabs>
        <w:ind w:left="3214" w:hanging="360"/>
      </w:pPr>
      <w:rPr>
        <w:rFonts w:ascii="Wingdings" w:hAnsi="Wingdings" w:hint="default"/>
      </w:rPr>
    </w:lvl>
    <w:lvl w:ilvl="3" w:tplc="040C0001" w:tentative="1">
      <w:start w:val="1"/>
      <w:numFmt w:val="bullet"/>
      <w:lvlText w:val=""/>
      <w:lvlJc w:val="left"/>
      <w:pPr>
        <w:tabs>
          <w:tab w:val="num" w:pos="3934"/>
        </w:tabs>
        <w:ind w:left="3934" w:hanging="360"/>
      </w:pPr>
      <w:rPr>
        <w:rFonts w:ascii="Symbol" w:hAnsi="Symbol" w:hint="default"/>
      </w:rPr>
    </w:lvl>
    <w:lvl w:ilvl="4" w:tplc="040C0003" w:tentative="1">
      <w:start w:val="1"/>
      <w:numFmt w:val="bullet"/>
      <w:lvlText w:val="o"/>
      <w:lvlJc w:val="left"/>
      <w:pPr>
        <w:tabs>
          <w:tab w:val="num" w:pos="4654"/>
        </w:tabs>
        <w:ind w:left="4654" w:hanging="360"/>
      </w:pPr>
      <w:rPr>
        <w:rFonts w:ascii="Courier New" w:hAnsi="Courier New" w:hint="default"/>
      </w:rPr>
    </w:lvl>
    <w:lvl w:ilvl="5" w:tplc="040C0005" w:tentative="1">
      <w:start w:val="1"/>
      <w:numFmt w:val="bullet"/>
      <w:lvlText w:val=""/>
      <w:lvlJc w:val="left"/>
      <w:pPr>
        <w:tabs>
          <w:tab w:val="num" w:pos="5374"/>
        </w:tabs>
        <w:ind w:left="5374" w:hanging="360"/>
      </w:pPr>
      <w:rPr>
        <w:rFonts w:ascii="Wingdings" w:hAnsi="Wingdings" w:hint="default"/>
      </w:rPr>
    </w:lvl>
    <w:lvl w:ilvl="6" w:tplc="040C0001" w:tentative="1">
      <w:start w:val="1"/>
      <w:numFmt w:val="bullet"/>
      <w:lvlText w:val=""/>
      <w:lvlJc w:val="left"/>
      <w:pPr>
        <w:tabs>
          <w:tab w:val="num" w:pos="6094"/>
        </w:tabs>
        <w:ind w:left="6094" w:hanging="360"/>
      </w:pPr>
      <w:rPr>
        <w:rFonts w:ascii="Symbol" w:hAnsi="Symbol" w:hint="default"/>
      </w:rPr>
    </w:lvl>
    <w:lvl w:ilvl="7" w:tplc="040C0003" w:tentative="1">
      <w:start w:val="1"/>
      <w:numFmt w:val="bullet"/>
      <w:lvlText w:val="o"/>
      <w:lvlJc w:val="left"/>
      <w:pPr>
        <w:tabs>
          <w:tab w:val="num" w:pos="6814"/>
        </w:tabs>
        <w:ind w:left="6814" w:hanging="360"/>
      </w:pPr>
      <w:rPr>
        <w:rFonts w:ascii="Courier New" w:hAnsi="Courier New" w:hint="default"/>
      </w:rPr>
    </w:lvl>
    <w:lvl w:ilvl="8" w:tplc="040C0005" w:tentative="1">
      <w:start w:val="1"/>
      <w:numFmt w:val="bullet"/>
      <w:lvlText w:val=""/>
      <w:lvlJc w:val="left"/>
      <w:pPr>
        <w:tabs>
          <w:tab w:val="num" w:pos="7534"/>
        </w:tabs>
        <w:ind w:left="7534" w:hanging="360"/>
      </w:pPr>
      <w:rPr>
        <w:rFonts w:ascii="Wingdings" w:hAnsi="Wingdings" w:hint="default"/>
      </w:rPr>
    </w:lvl>
  </w:abstractNum>
  <w:abstractNum w:abstractNumId="8">
    <w:nsid w:val="2BD70A28"/>
    <w:multiLevelType w:val="hybridMultilevel"/>
    <w:tmpl w:val="09F428EC"/>
    <w:lvl w:ilvl="0" w:tplc="314A5242">
      <w:start w:val="2"/>
      <w:numFmt w:val="bullet"/>
      <w:lvlText w:val="-"/>
      <w:lvlJc w:val="left"/>
      <w:pPr>
        <w:tabs>
          <w:tab w:val="num" w:pos="1639"/>
        </w:tabs>
        <w:ind w:left="1639" w:hanging="360"/>
      </w:pPr>
      <w:rPr>
        <w:rFonts w:ascii="Times New Roman" w:eastAsia="Times New Roman" w:hAnsi="Times New Roman" w:cs="Times New Roman" w:hint="default"/>
      </w:rPr>
    </w:lvl>
    <w:lvl w:ilvl="1" w:tplc="040C0003" w:tentative="1">
      <w:start w:val="1"/>
      <w:numFmt w:val="bullet"/>
      <w:lvlText w:val="o"/>
      <w:lvlJc w:val="left"/>
      <w:pPr>
        <w:tabs>
          <w:tab w:val="num" w:pos="2359"/>
        </w:tabs>
        <w:ind w:left="2359" w:hanging="360"/>
      </w:pPr>
      <w:rPr>
        <w:rFonts w:ascii="Courier New" w:hAnsi="Courier New" w:hint="default"/>
      </w:rPr>
    </w:lvl>
    <w:lvl w:ilvl="2" w:tplc="040C0005" w:tentative="1">
      <w:start w:val="1"/>
      <w:numFmt w:val="bullet"/>
      <w:lvlText w:val=""/>
      <w:lvlJc w:val="left"/>
      <w:pPr>
        <w:tabs>
          <w:tab w:val="num" w:pos="3079"/>
        </w:tabs>
        <w:ind w:left="3079" w:hanging="360"/>
      </w:pPr>
      <w:rPr>
        <w:rFonts w:ascii="Wingdings" w:hAnsi="Wingdings" w:hint="default"/>
      </w:rPr>
    </w:lvl>
    <w:lvl w:ilvl="3" w:tplc="040C0001" w:tentative="1">
      <w:start w:val="1"/>
      <w:numFmt w:val="bullet"/>
      <w:lvlText w:val=""/>
      <w:lvlJc w:val="left"/>
      <w:pPr>
        <w:tabs>
          <w:tab w:val="num" w:pos="3799"/>
        </w:tabs>
        <w:ind w:left="3799" w:hanging="360"/>
      </w:pPr>
      <w:rPr>
        <w:rFonts w:ascii="Symbol" w:hAnsi="Symbol" w:hint="default"/>
      </w:rPr>
    </w:lvl>
    <w:lvl w:ilvl="4" w:tplc="040C0003" w:tentative="1">
      <w:start w:val="1"/>
      <w:numFmt w:val="bullet"/>
      <w:lvlText w:val="o"/>
      <w:lvlJc w:val="left"/>
      <w:pPr>
        <w:tabs>
          <w:tab w:val="num" w:pos="4519"/>
        </w:tabs>
        <w:ind w:left="4519" w:hanging="360"/>
      </w:pPr>
      <w:rPr>
        <w:rFonts w:ascii="Courier New" w:hAnsi="Courier New" w:hint="default"/>
      </w:rPr>
    </w:lvl>
    <w:lvl w:ilvl="5" w:tplc="040C0005" w:tentative="1">
      <w:start w:val="1"/>
      <w:numFmt w:val="bullet"/>
      <w:lvlText w:val=""/>
      <w:lvlJc w:val="left"/>
      <w:pPr>
        <w:tabs>
          <w:tab w:val="num" w:pos="5239"/>
        </w:tabs>
        <w:ind w:left="5239" w:hanging="360"/>
      </w:pPr>
      <w:rPr>
        <w:rFonts w:ascii="Wingdings" w:hAnsi="Wingdings" w:hint="default"/>
      </w:rPr>
    </w:lvl>
    <w:lvl w:ilvl="6" w:tplc="040C0001" w:tentative="1">
      <w:start w:val="1"/>
      <w:numFmt w:val="bullet"/>
      <w:lvlText w:val=""/>
      <w:lvlJc w:val="left"/>
      <w:pPr>
        <w:tabs>
          <w:tab w:val="num" w:pos="5959"/>
        </w:tabs>
        <w:ind w:left="5959" w:hanging="360"/>
      </w:pPr>
      <w:rPr>
        <w:rFonts w:ascii="Symbol" w:hAnsi="Symbol" w:hint="default"/>
      </w:rPr>
    </w:lvl>
    <w:lvl w:ilvl="7" w:tplc="040C0003" w:tentative="1">
      <w:start w:val="1"/>
      <w:numFmt w:val="bullet"/>
      <w:lvlText w:val="o"/>
      <w:lvlJc w:val="left"/>
      <w:pPr>
        <w:tabs>
          <w:tab w:val="num" w:pos="6679"/>
        </w:tabs>
        <w:ind w:left="6679" w:hanging="360"/>
      </w:pPr>
      <w:rPr>
        <w:rFonts w:ascii="Courier New" w:hAnsi="Courier New" w:hint="default"/>
      </w:rPr>
    </w:lvl>
    <w:lvl w:ilvl="8" w:tplc="040C0005" w:tentative="1">
      <w:start w:val="1"/>
      <w:numFmt w:val="bullet"/>
      <w:lvlText w:val=""/>
      <w:lvlJc w:val="left"/>
      <w:pPr>
        <w:tabs>
          <w:tab w:val="num" w:pos="7399"/>
        </w:tabs>
        <w:ind w:left="7399" w:hanging="360"/>
      </w:pPr>
      <w:rPr>
        <w:rFonts w:ascii="Wingdings" w:hAnsi="Wingdings" w:hint="default"/>
      </w:rPr>
    </w:lvl>
  </w:abstractNum>
  <w:abstractNum w:abstractNumId="9">
    <w:nsid w:val="2C557B54"/>
    <w:multiLevelType w:val="hybridMultilevel"/>
    <w:tmpl w:val="1B480E40"/>
    <w:lvl w:ilvl="0" w:tplc="E69814C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nsid w:val="2C8763F6"/>
    <w:multiLevelType w:val="singleLevel"/>
    <w:tmpl w:val="43D0E9A8"/>
    <w:lvl w:ilvl="0">
      <w:numFmt w:val="bullet"/>
      <w:lvlText w:val=""/>
      <w:lvlJc w:val="left"/>
      <w:pPr>
        <w:tabs>
          <w:tab w:val="num" w:pos="360"/>
        </w:tabs>
        <w:ind w:left="360" w:hanging="360"/>
      </w:pPr>
      <w:rPr>
        <w:rFonts w:ascii="Symbol" w:hAnsi="Symbol" w:hint="default"/>
      </w:rPr>
    </w:lvl>
  </w:abstractNum>
  <w:abstractNum w:abstractNumId="11">
    <w:nsid w:val="311D6D39"/>
    <w:multiLevelType w:val="hybridMultilevel"/>
    <w:tmpl w:val="7B9EFCB4"/>
    <w:lvl w:ilvl="0" w:tplc="2CA0653E">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007699"/>
    <w:multiLevelType w:val="hybridMultilevel"/>
    <w:tmpl w:val="4B0448D0"/>
    <w:lvl w:ilvl="0" w:tplc="E69814C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nsid w:val="321E6A79"/>
    <w:multiLevelType w:val="hybridMultilevel"/>
    <w:tmpl w:val="DE8094CE"/>
    <w:lvl w:ilvl="0" w:tplc="E69814C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nsid w:val="331C7002"/>
    <w:multiLevelType w:val="hybridMultilevel"/>
    <w:tmpl w:val="A596110E"/>
    <w:lvl w:ilvl="0" w:tplc="DC24EAF2">
      <w:start w:val="24"/>
      <w:numFmt w:val="bullet"/>
      <w:lvlText w:val="-"/>
      <w:lvlJc w:val="left"/>
      <w:pPr>
        <w:ind w:left="2149" w:hanging="360"/>
      </w:pPr>
      <w:rPr>
        <w:rFonts w:ascii="Franklin Gothic Book" w:eastAsia="Times New Roman" w:hAnsi="Franklin Gothic Book" w:cs="Times New Roman"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15">
    <w:nsid w:val="39B47C35"/>
    <w:multiLevelType w:val="hybridMultilevel"/>
    <w:tmpl w:val="C518E51A"/>
    <w:lvl w:ilvl="0" w:tplc="A8540C98">
      <w:start w:val="1"/>
      <w:numFmt w:val="bullet"/>
      <w:lvlText w:val="—"/>
      <w:lvlJc w:val="left"/>
      <w:pPr>
        <w:ind w:left="1287" w:hanging="360"/>
      </w:pPr>
      <w:rPr>
        <w:rFonts w:ascii="Calibri" w:hAnsi="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3DDC71B3"/>
    <w:multiLevelType w:val="hybridMultilevel"/>
    <w:tmpl w:val="72F21368"/>
    <w:lvl w:ilvl="0" w:tplc="E69814CA">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nsid w:val="4336288E"/>
    <w:multiLevelType w:val="singleLevel"/>
    <w:tmpl w:val="1916A204"/>
    <w:lvl w:ilvl="0">
      <w:numFmt w:val="bullet"/>
      <w:lvlText w:val="-"/>
      <w:lvlJc w:val="left"/>
      <w:pPr>
        <w:tabs>
          <w:tab w:val="num" w:pos="360"/>
        </w:tabs>
        <w:ind w:left="360" w:hanging="360"/>
      </w:pPr>
      <w:rPr>
        <w:rFonts w:hint="default"/>
      </w:rPr>
    </w:lvl>
  </w:abstractNum>
  <w:abstractNum w:abstractNumId="18">
    <w:nsid w:val="43F71E62"/>
    <w:multiLevelType w:val="hybridMultilevel"/>
    <w:tmpl w:val="B2C271F0"/>
    <w:lvl w:ilvl="0" w:tplc="E69814C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49D7178"/>
    <w:multiLevelType w:val="hybridMultilevel"/>
    <w:tmpl w:val="AC40B206"/>
    <w:lvl w:ilvl="0" w:tplc="A8540C98">
      <w:start w:val="1"/>
      <w:numFmt w:val="bullet"/>
      <w:lvlText w:val="—"/>
      <w:lvlJc w:val="left"/>
      <w:pPr>
        <w:ind w:left="1287" w:hanging="360"/>
      </w:pPr>
      <w:rPr>
        <w:rFonts w:ascii="Calibri" w:hAnsi="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nsid w:val="47CF066F"/>
    <w:multiLevelType w:val="hybridMultilevel"/>
    <w:tmpl w:val="DC0EC4A8"/>
    <w:lvl w:ilvl="0" w:tplc="A8540C98">
      <w:start w:val="1"/>
      <w:numFmt w:val="bullet"/>
      <w:lvlText w:val="—"/>
      <w:lvlJc w:val="left"/>
      <w:pPr>
        <w:ind w:left="1287" w:hanging="360"/>
      </w:pPr>
      <w:rPr>
        <w:rFonts w:ascii="Calibri" w:hAnsi="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50A62F70"/>
    <w:multiLevelType w:val="hybridMultilevel"/>
    <w:tmpl w:val="0C16001C"/>
    <w:lvl w:ilvl="0" w:tplc="F5CC1BF0">
      <w:start w:val="170"/>
      <w:numFmt w:val="bullet"/>
      <w:lvlText w:val="-"/>
      <w:lvlJc w:val="left"/>
      <w:pPr>
        <w:ind w:left="927"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nsid w:val="520021D6"/>
    <w:multiLevelType w:val="hybridMultilevel"/>
    <w:tmpl w:val="9B9674F8"/>
    <w:lvl w:ilvl="0" w:tplc="E69814CA">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3">
    <w:nsid w:val="547D1086"/>
    <w:multiLevelType w:val="hybridMultilevel"/>
    <w:tmpl w:val="1F7AD9F8"/>
    <w:lvl w:ilvl="0" w:tplc="4F76F22C">
      <w:start w:val="1"/>
      <w:numFmt w:val="bullet"/>
      <w:lvlText w:val="-"/>
      <w:lvlJc w:val="left"/>
      <w:pPr>
        <w:ind w:left="927"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nsid w:val="557D5FA9"/>
    <w:multiLevelType w:val="hybridMultilevel"/>
    <w:tmpl w:val="279E2946"/>
    <w:lvl w:ilvl="0" w:tplc="E69814CA">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nsid w:val="559B6552"/>
    <w:multiLevelType w:val="hybridMultilevel"/>
    <w:tmpl w:val="99BE7B7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nsid w:val="559F077A"/>
    <w:multiLevelType w:val="hybridMultilevel"/>
    <w:tmpl w:val="E042EF6E"/>
    <w:lvl w:ilvl="0" w:tplc="44827E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8E34E5C"/>
    <w:multiLevelType w:val="hybridMultilevel"/>
    <w:tmpl w:val="DBC49A64"/>
    <w:lvl w:ilvl="0" w:tplc="AD5C525C">
      <w:numFmt w:val="bullet"/>
      <w:lvlText w:val="-"/>
      <w:lvlJc w:val="left"/>
      <w:pPr>
        <w:tabs>
          <w:tab w:val="num" w:pos="1639"/>
        </w:tabs>
        <w:ind w:left="1639" w:hanging="360"/>
      </w:pPr>
      <w:rPr>
        <w:rFonts w:ascii="Times New Roman" w:eastAsia="Times New Roman" w:hAnsi="Times New Roman" w:cs="Times New Roman" w:hint="default"/>
      </w:rPr>
    </w:lvl>
    <w:lvl w:ilvl="1" w:tplc="F3606818" w:tentative="1">
      <w:start w:val="1"/>
      <w:numFmt w:val="bullet"/>
      <w:lvlText w:val="o"/>
      <w:lvlJc w:val="left"/>
      <w:pPr>
        <w:tabs>
          <w:tab w:val="num" w:pos="2359"/>
        </w:tabs>
        <w:ind w:left="2359" w:hanging="360"/>
      </w:pPr>
      <w:rPr>
        <w:rFonts w:ascii="Courier New" w:hAnsi="Courier New" w:hint="default"/>
      </w:rPr>
    </w:lvl>
    <w:lvl w:ilvl="2" w:tplc="E4FAFAC8" w:tentative="1">
      <w:start w:val="1"/>
      <w:numFmt w:val="bullet"/>
      <w:lvlText w:val=""/>
      <w:lvlJc w:val="left"/>
      <w:pPr>
        <w:tabs>
          <w:tab w:val="num" w:pos="3079"/>
        </w:tabs>
        <w:ind w:left="3079" w:hanging="360"/>
      </w:pPr>
      <w:rPr>
        <w:rFonts w:ascii="Wingdings" w:hAnsi="Wingdings" w:hint="default"/>
      </w:rPr>
    </w:lvl>
    <w:lvl w:ilvl="3" w:tplc="61C09748" w:tentative="1">
      <w:start w:val="1"/>
      <w:numFmt w:val="bullet"/>
      <w:lvlText w:val=""/>
      <w:lvlJc w:val="left"/>
      <w:pPr>
        <w:tabs>
          <w:tab w:val="num" w:pos="3799"/>
        </w:tabs>
        <w:ind w:left="3799" w:hanging="360"/>
      </w:pPr>
      <w:rPr>
        <w:rFonts w:ascii="Symbol" w:hAnsi="Symbol" w:hint="default"/>
      </w:rPr>
    </w:lvl>
    <w:lvl w:ilvl="4" w:tplc="3BB04558" w:tentative="1">
      <w:start w:val="1"/>
      <w:numFmt w:val="bullet"/>
      <w:lvlText w:val="o"/>
      <w:lvlJc w:val="left"/>
      <w:pPr>
        <w:tabs>
          <w:tab w:val="num" w:pos="4519"/>
        </w:tabs>
        <w:ind w:left="4519" w:hanging="360"/>
      </w:pPr>
      <w:rPr>
        <w:rFonts w:ascii="Courier New" w:hAnsi="Courier New" w:hint="default"/>
      </w:rPr>
    </w:lvl>
    <w:lvl w:ilvl="5" w:tplc="9078B190" w:tentative="1">
      <w:start w:val="1"/>
      <w:numFmt w:val="bullet"/>
      <w:lvlText w:val=""/>
      <w:lvlJc w:val="left"/>
      <w:pPr>
        <w:tabs>
          <w:tab w:val="num" w:pos="5239"/>
        </w:tabs>
        <w:ind w:left="5239" w:hanging="360"/>
      </w:pPr>
      <w:rPr>
        <w:rFonts w:ascii="Wingdings" w:hAnsi="Wingdings" w:hint="default"/>
      </w:rPr>
    </w:lvl>
    <w:lvl w:ilvl="6" w:tplc="737CFB1E" w:tentative="1">
      <w:start w:val="1"/>
      <w:numFmt w:val="bullet"/>
      <w:lvlText w:val=""/>
      <w:lvlJc w:val="left"/>
      <w:pPr>
        <w:tabs>
          <w:tab w:val="num" w:pos="5959"/>
        </w:tabs>
        <w:ind w:left="5959" w:hanging="360"/>
      </w:pPr>
      <w:rPr>
        <w:rFonts w:ascii="Symbol" w:hAnsi="Symbol" w:hint="default"/>
      </w:rPr>
    </w:lvl>
    <w:lvl w:ilvl="7" w:tplc="32601968" w:tentative="1">
      <w:start w:val="1"/>
      <w:numFmt w:val="bullet"/>
      <w:lvlText w:val="o"/>
      <w:lvlJc w:val="left"/>
      <w:pPr>
        <w:tabs>
          <w:tab w:val="num" w:pos="6679"/>
        </w:tabs>
        <w:ind w:left="6679" w:hanging="360"/>
      </w:pPr>
      <w:rPr>
        <w:rFonts w:ascii="Courier New" w:hAnsi="Courier New" w:hint="default"/>
      </w:rPr>
    </w:lvl>
    <w:lvl w:ilvl="8" w:tplc="22BE51A0" w:tentative="1">
      <w:start w:val="1"/>
      <w:numFmt w:val="bullet"/>
      <w:lvlText w:val=""/>
      <w:lvlJc w:val="left"/>
      <w:pPr>
        <w:tabs>
          <w:tab w:val="num" w:pos="7399"/>
        </w:tabs>
        <w:ind w:left="7399" w:hanging="360"/>
      </w:pPr>
      <w:rPr>
        <w:rFonts w:ascii="Wingdings" w:hAnsi="Wingdings" w:hint="default"/>
      </w:rPr>
    </w:lvl>
  </w:abstractNum>
  <w:abstractNum w:abstractNumId="28">
    <w:nsid w:val="5ABD4289"/>
    <w:multiLevelType w:val="hybridMultilevel"/>
    <w:tmpl w:val="9FAAE1AA"/>
    <w:lvl w:ilvl="0" w:tplc="DC24EAF2">
      <w:start w:val="24"/>
      <w:numFmt w:val="bullet"/>
      <w:lvlText w:val="-"/>
      <w:lvlJc w:val="left"/>
      <w:pPr>
        <w:ind w:left="720" w:hanging="360"/>
      </w:pPr>
      <w:rPr>
        <w:rFonts w:ascii="Franklin Gothic Book" w:eastAsia="Times New Roman"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B3820FB"/>
    <w:multiLevelType w:val="hybridMultilevel"/>
    <w:tmpl w:val="EE3861F8"/>
    <w:lvl w:ilvl="0" w:tplc="9146BF72">
      <w:numFmt w:val="bullet"/>
      <w:lvlText w:val="-"/>
      <w:lvlJc w:val="left"/>
      <w:pPr>
        <w:ind w:left="927" w:hanging="360"/>
      </w:pPr>
      <w:rPr>
        <w:rFonts w:ascii="Calibri" w:eastAsia="Times New Roman" w:hAnsi="Calibri"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0">
    <w:nsid w:val="6BAF7995"/>
    <w:multiLevelType w:val="hybridMultilevel"/>
    <w:tmpl w:val="B5949CF8"/>
    <w:lvl w:ilvl="0" w:tplc="A8540C98">
      <w:start w:val="1"/>
      <w:numFmt w:val="bullet"/>
      <w:lvlText w:val="—"/>
      <w:lvlJc w:val="left"/>
      <w:pPr>
        <w:ind w:left="1287" w:hanging="360"/>
      </w:pPr>
      <w:rPr>
        <w:rFonts w:ascii="Calibri" w:hAnsi="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nsid w:val="70F53996"/>
    <w:multiLevelType w:val="hybridMultilevel"/>
    <w:tmpl w:val="6E4021F0"/>
    <w:lvl w:ilvl="0" w:tplc="C07CDFF6">
      <w:start w:val="170"/>
      <w:numFmt w:val="bullet"/>
      <w:lvlText w:val="-"/>
      <w:lvlJc w:val="left"/>
      <w:pPr>
        <w:ind w:left="927"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2">
    <w:nsid w:val="759936D4"/>
    <w:multiLevelType w:val="hybridMultilevel"/>
    <w:tmpl w:val="9E3E2FD4"/>
    <w:lvl w:ilvl="0" w:tplc="E69814C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nsid w:val="766A2330"/>
    <w:multiLevelType w:val="hybridMultilevel"/>
    <w:tmpl w:val="4A1EE5C0"/>
    <w:lvl w:ilvl="0" w:tplc="DC24EAF2">
      <w:start w:val="24"/>
      <w:numFmt w:val="bullet"/>
      <w:lvlText w:val="-"/>
      <w:lvlJc w:val="left"/>
      <w:pPr>
        <w:ind w:left="770" w:hanging="360"/>
      </w:pPr>
      <w:rPr>
        <w:rFonts w:ascii="Franklin Gothic Book" w:eastAsia="Times New Roman" w:hAnsi="Franklin Gothic Book" w:cs="Times New Roman"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4">
    <w:nsid w:val="78F103DD"/>
    <w:multiLevelType w:val="hybridMultilevel"/>
    <w:tmpl w:val="D0528728"/>
    <w:lvl w:ilvl="0" w:tplc="A8540C98">
      <w:start w:val="1"/>
      <w:numFmt w:val="bullet"/>
      <w:lvlText w:val="—"/>
      <w:lvlJc w:val="left"/>
      <w:pPr>
        <w:ind w:left="1647" w:hanging="360"/>
      </w:pPr>
      <w:rPr>
        <w:rFonts w:ascii="Calibri" w:hAnsi="Calibr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5">
    <w:nsid w:val="79B97D0C"/>
    <w:multiLevelType w:val="hybridMultilevel"/>
    <w:tmpl w:val="03401672"/>
    <w:lvl w:ilvl="0" w:tplc="9A6A554C">
      <w:start w:val="1"/>
      <w:numFmt w:val="bullet"/>
      <w:lvlText w:val=""/>
      <w:lvlJc w:val="left"/>
      <w:pPr>
        <w:tabs>
          <w:tab w:val="num" w:pos="1429"/>
        </w:tabs>
        <w:ind w:left="142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6">
    <w:nsid w:val="7B31555E"/>
    <w:multiLevelType w:val="hybridMultilevel"/>
    <w:tmpl w:val="DC60047A"/>
    <w:lvl w:ilvl="0" w:tplc="82A6A934">
      <w:start w:val="53"/>
      <w:numFmt w:val="bullet"/>
      <w:lvlText w:val="-"/>
      <w:lvlJc w:val="left"/>
      <w:pPr>
        <w:ind w:left="1071" w:hanging="360"/>
      </w:pPr>
      <w:rPr>
        <w:rFonts w:ascii="Calibri" w:eastAsia="Times New Roman" w:hAnsi="Calibri" w:cs="Calibri"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num w:numId="1">
    <w:abstractNumId w:val="10"/>
  </w:num>
  <w:num w:numId="2">
    <w:abstractNumId w:val="17"/>
  </w:num>
  <w:num w:numId="3">
    <w:abstractNumId w:val="27"/>
  </w:num>
  <w:num w:numId="4">
    <w:abstractNumId w:val="7"/>
  </w:num>
  <w:num w:numId="5">
    <w:abstractNumId w:val="8"/>
  </w:num>
  <w:num w:numId="6">
    <w:abstractNumId w:val="3"/>
  </w:num>
  <w:num w:numId="7">
    <w:abstractNumId w:val="35"/>
  </w:num>
  <w:num w:numId="8">
    <w:abstractNumId w:val="0"/>
  </w:num>
  <w:num w:numId="9">
    <w:abstractNumId w:val="26"/>
  </w:num>
  <w:num w:numId="10">
    <w:abstractNumId w:val="0"/>
  </w:num>
  <w:num w:numId="11">
    <w:abstractNumId w:val="16"/>
  </w:num>
  <w:num w:numId="12">
    <w:abstractNumId w:val="14"/>
  </w:num>
  <w:num w:numId="13">
    <w:abstractNumId w:val="22"/>
  </w:num>
  <w:num w:numId="14">
    <w:abstractNumId w:val="28"/>
  </w:num>
  <w:num w:numId="15">
    <w:abstractNumId w:val="33"/>
  </w:num>
  <w:num w:numId="16">
    <w:abstractNumId w:val="12"/>
  </w:num>
  <w:num w:numId="17">
    <w:abstractNumId w:val="13"/>
  </w:num>
  <w:num w:numId="18">
    <w:abstractNumId w:val="9"/>
  </w:num>
  <w:num w:numId="19">
    <w:abstractNumId w:val="25"/>
  </w:num>
  <w:num w:numId="20">
    <w:abstractNumId w:val="23"/>
  </w:num>
  <w:num w:numId="21">
    <w:abstractNumId w:val="24"/>
  </w:num>
  <w:num w:numId="22">
    <w:abstractNumId w:val="5"/>
  </w:num>
  <w:num w:numId="23">
    <w:abstractNumId w:val="2"/>
  </w:num>
  <w:num w:numId="24">
    <w:abstractNumId w:val="19"/>
  </w:num>
  <w:num w:numId="25">
    <w:abstractNumId w:val="1"/>
  </w:num>
  <w:num w:numId="26">
    <w:abstractNumId w:val="29"/>
  </w:num>
  <w:num w:numId="27">
    <w:abstractNumId w:val="20"/>
  </w:num>
  <w:num w:numId="28">
    <w:abstractNumId w:val="30"/>
  </w:num>
  <w:num w:numId="29">
    <w:abstractNumId w:val="32"/>
  </w:num>
  <w:num w:numId="30">
    <w:abstractNumId w:val="15"/>
  </w:num>
  <w:num w:numId="31">
    <w:abstractNumId w:val="21"/>
  </w:num>
  <w:num w:numId="32">
    <w:abstractNumId w:val="34"/>
  </w:num>
  <w:num w:numId="33">
    <w:abstractNumId w:val="31"/>
  </w:num>
  <w:num w:numId="34">
    <w:abstractNumId w:val="36"/>
  </w:num>
  <w:num w:numId="35">
    <w:abstractNumId w:val="4"/>
  </w:num>
  <w:num w:numId="36">
    <w:abstractNumId w:val="6"/>
  </w:num>
  <w:num w:numId="37">
    <w:abstractNumId w:val="18"/>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49"/>
    <w:rsid w:val="00003E99"/>
    <w:rsid w:val="000064E2"/>
    <w:rsid w:val="000066B1"/>
    <w:rsid w:val="00015C7E"/>
    <w:rsid w:val="00016E31"/>
    <w:rsid w:val="0001782E"/>
    <w:rsid w:val="00020F49"/>
    <w:rsid w:val="00035FF6"/>
    <w:rsid w:val="00042A90"/>
    <w:rsid w:val="000443C8"/>
    <w:rsid w:val="00044443"/>
    <w:rsid w:val="00054207"/>
    <w:rsid w:val="000543D7"/>
    <w:rsid w:val="0006347F"/>
    <w:rsid w:val="00064930"/>
    <w:rsid w:val="00075829"/>
    <w:rsid w:val="00075D3E"/>
    <w:rsid w:val="00077980"/>
    <w:rsid w:val="00082AF3"/>
    <w:rsid w:val="00082E76"/>
    <w:rsid w:val="000853D2"/>
    <w:rsid w:val="00091641"/>
    <w:rsid w:val="00093F4B"/>
    <w:rsid w:val="000942F3"/>
    <w:rsid w:val="000973A9"/>
    <w:rsid w:val="000A181C"/>
    <w:rsid w:val="000A4234"/>
    <w:rsid w:val="000A456E"/>
    <w:rsid w:val="000B3286"/>
    <w:rsid w:val="000B6400"/>
    <w:rsid w:val="000B7BAE"/>
    <w:rsid w:val="000C0468"/>
    <w:rsid w:val="000C0A81"/>
    <w:rsid w:val="000C6859"/>
    <w:rsid w:val="000D08CB"/>
    <w:rsid w:val="000D35A4"/>
    <w:rsid w:val="000D38F1"/>
    <w:rsid w:val="000D4912"/>
    <w:rsid w:val="000D58B0"/>
    <w:rsid w:val="000E0CC0"/>
    <w:rsid w:val="000E55E4"/>
    <w:rsid w:val="000E628B"/>
    <w:rsid w:val="000E799E"/>
    <w:rsid w:val="000F246D"/>
    <w:rsid w:val="000F378F"/>
    <w:rsid w:val="000F4D3E"/>
    <w:rsid w:val="000F4D6C"/>
    <w:rsid w:val="000F73C5"/>
    <w:rsid w:val="00102235"/>
    <w:rsid w:val="00107E5E"/>
    <w:rsid w:val="001119EC"/>
    <w:rsid w:val="00120442"/>
    <w:rsid w:val="00120E40"/>
    <w:rsid w:val="0012440E"/>
    <w:rsid w:val="00124A64"/>
    <w:rsid w:val="00131C5B"/>
    <w:rsid w:val="00132145"/>
    <w:rsid w:val="001333F1"/>
    <w:rsid w:val="00141A28"/>
    <w:rsid w:val="00141D24"/>
    <w:rsid w:val="00143316"/>
    <w:rsid w:val="001438CD"/>
    <w:rsid w:val="00145B9B"/>
    <w:rsid w:val="00154FBF"/>
    <w:rsid w:val="00165AA4"/>
    <w:rsid w:val="00165FB4"/>
    <w:rsid w:val="0017260E"/>
    <w:rsid w:val="001734CC"/>
    <w:rsid w:val="0017519B"/>
    <w:rsid w:val="00181422"/>
    <w:rsid w:val="001824B8"/>
    <w:rsid w:val="001841B5"/>
    <w:rsid w:val="0018687F"/>
    <w:rsid w:val="00187501"/>
    <w:rsid w:val="001A1140"/>
    <w:rsid w:val="001A3981"/>
    <w:rsid w:val="001A5A82"/>
    <w:rsid w:val="001A704E"/>
    <w:rsid w:val="001A71BA"/>
    <w:rsid w:val="001B0136"/>
    <w:rsid w:val="001B114A"/>
    <w:rsid w:val="001B1BCF"/>
    <w:rsid w:val="001B4E53"/>
    <w:rsid w:val="001C0556"/>
    <w:rsid w:val="001C3202"/>
    <w:rsid w:val="001C588C"/>
    <w:rsid w:val="001C59CD"/>
    <w:rsid w:val="001C7710"/>
    <w:rsid w:val="001D3146"/>
    <w:rsid w:val="001D6D4B"/>
    <w:rsid w:val="001D7503"/>
    <w:rsid w:val="001E0190"/>
    <w:rsid w:val="001E2F93"/>
    <w:rsid w:val="001E53CF"/>
    <w:rsid w:val="001E6257"/>
    <w:rsid w:val="001F4500"/>
    <w:rsid w:val="001F5C0C"/>
    <w:rsid w:val="001F74FE"/>
    <w:rsid w:val="002032E8"/>
    <w:rsid w:val="00203EDE"/>
    <w:rsid w:val="00211CF1"/>
    <w:rsid w:val="00211E46"/>
    <w:rsid w:val="00212E85"/>
    <w:rsid w:val="0022145D"/>
    <w:rsid w:val="00221CB9"/>
    <w:rsid w:val="00226C9B"/>
    <w:rsid w:val="00227861"/>
    <w:rsid w:val="00227A48"/>
    <w:rsid w:val="00231749"/>
    <w:rsid w:val="00236939"/>
    <w:rsid w:val="00237008"/>
    <w:rsid w:val="00237C0C"/>
    <w:rsid w:val="00241C5D"/>
    <w:rsid w:val="00243B8D"/>
    <w:rsid w:val="00244C7F"/>
    <w:rsid w:val="00250DB4"/>
    <w:rsid w:val="0025124C"/>
    <w:rsid w:val="00252C6D"/>
    <w:rsid w:val="0025384F"/>
    <w:rsid w:val="00253943"/>
    <w:rsid w:val="00255A49"/>
    <w:rsid w:val="00256C67"/>
    <w:rsid w:val="002609B2"/>
    <w:rsid w:val="0026145E"/>
    <w:rsid w:val="00265BC1"/>
    <w:rsid w:val="0026770B"/>
    <w:rsid w:val="00271284"/>
    <w:rsid w:val="002746C2"/>
    <w:rsid w:val="002838F2"/>
    <w:rsid w:val="00283A33"/>
    <w:rsid w:val="00283A8F"/>
    <w:rsid w:val="0028725B"/>
    <w:rsid w:val="00287B0C"/>
    <w:rsid w:val="00293894"/>
    <w:rsid w:val="00293923"/>
    <w:rsid w:val="002A6070"/>
    <w:rsid w:val="002A6D00"/>
    <w:rsid w:val="002A77C1"/>
    <w:rsid w:val="002A7BAA"/>
    <w:rsid w:val="002B0C97"/>
    <w:rsid w:val="002B1AED"/>
    <w:rsid w:val="002B24E2"/>
    <w:rsid w:val="002B76EA"/>
    <w:rsid w:val="002C20F8"/>
    <w:rsid w:val="002C5B4F"/>
    <w:rsid w:val="002C5E4F"/>
    <w:rsid w:val="002D02AE"/>
    <w:rsid w:val="002E175F"/>
    <w:rsid w:val="002F05AB"/>
    <w:rsid w:val="002F327D"/>
    <w:rsid w:val="002F79E9"/>
    <w:rsid w:val="0030047F"/>
    <w:rsid w:val="00300B32"/>
    <w:rsid w:val="003022E3"/>
    <w:rsid w:val="0030239F"/>
    <w:rsid w:val="003048AA"/>
    <w:rsid w:val="0031028B"/>
    <w:rsid w:val="00312FC5"/>
    <w:rsid w:val="003151CE"/>
    <w:rsid w:val="00315ABE"/>
    <w:rsid w:val="003205C5"/>
    <w:rsid w:val="00321F0B"/>
    <w:rsid w:val="003260CA"/>
    <w:rsid w:val="00326BDF"/>
    <w:rsid w:val="00336BAC"/>
    <w:rsid w:val="0033713E"/>
    <w:rsid w:val="00344E7C"/>
    <w:rsid w:val="003451A7"/>
    <w:rsid w:val="00345205"/>
    <w:rsid w:val="00345E48"/>
    <w:rsid w:val="003500AA"/>
    <w:rsid w:val="00354743"/>
    <w:rsid w:val="00356907"/>
    <w:rsid w:val="00361E07"/>
    <w:rsid w:val="0036209A"/>
    <w:rsid w:val="00362982"/>
    <w:rsid w:val="00367932"/>
    <w:rsid w:val="00367F68"/>
    <w:rsid w:val="00377D4C"/>
    <w:rsid w:val="00383566"/>
    <w:rsid w:val="00383CA2"/>
    <w:rsid w:val="00385DC7"/>
    <w:rsid w:val="003902F1"/>
    <w:rsid w:val="003914D5"/>
    <w:rsid w:val="003A1FB8"/>
    <w:rsid w:val="003B3BDA"/>
    <w:rsid w:val="003B4406"/>
    <w:rsid w:val="003B550A"/>
    <w:rsid w:val="003C0E12"/>
    <w:rsid w:val="003C74B6"/>
    <w:rsid w:val="003D2474"/>
    <w:rsid w:val="003D2CEA"/>
    <w:rsid w:val="003D66A1"/>
    <w:rsid w:val="003E5D4D"/>
    <w:rsid w:val="003F41DE"/>
    <w:rsid w:val="003F522C"/>
    <w:rsid w:val="003F68FD"/>
    <w:rsid w:val="00400989"/>
    <w:rsid w:val="004013EC"/>
    <w:rsid w:val="00402D9F"/>
    <w:rsid w:val="004044C9"/>
    <w:rsid w:val="0040654F"/>
    <w:rsid w:val="00406948"/>
    <w:rsid w:val="004112F8"/>
    <w:rsid w:val="00413012"/>
    <w:rsid w:val="0041321E"/>
    <w:rsid w:val="00414573"/>
    <w:rsid w:val="00414CAA"/>
    <w:rsid w:val="004176BD"/>
    <w:rsid w:val="0042061E"/>
    <w:rsid w:val="004227E9"/>
    <w:rsid w:val="004274A3"/>
    <w:rsid w:val="00427836"/>
    <w:rsid w:val="00432AA1"/>
    <w:rsid w:val="00435D9D"/>
    <w:rsid w:val="0044533E"/>
    <w:rsid w:val="00445F98"/>
    <w:rsid w:val="0044648F"/>
    <w:rsid w:val="00446DF8"/>
    <w:rsid w:val="00450AFD"/>
    <w:rsid w:val="004512E1"/>
    <w:rsid w:val="00451AA5"/>
    <w:rsid w:val="00451F3B"/>
    <w:rsid w:val="00452281"/>
    <w:rsid w:val="0045292D"/>
    <w:rsid w:val="00455D9E"/>
    <w:rsid w:val="00456E51"/>
    <w:rsid w:val="00461340"/>
    <w:rsid w:val="00463F29"/>
    <w:rsid w:val="004640A8"/>
    <w:rsid w:val="00464593"/>
    <w:rsid w:val="0047271F"/>
    <w:rsid w:val="004754BD"/>
    <w:rsid w:val="0047575F"/>
    <w:rsid w:val="00484522"/>
    <w:rsid w:val="00486257"/>
    <w:rsid w:val="00497607"/>
    <w:rsid w:val="004A1023"/>
    <w:rsid w:val="004A262B"/>
    <w:rsid w:val="004A3830"/>
    <w:rsid w:val="004A48EC"/>
    <w:rsid w:val="004A544A"/>
    <w:rsid w:val="004A57BD"/>
    <w:rsid w:val="004B0240"/>
    <w:rsid w:val="004B1EDA"/>
    <w:rsid w:val="004B528F"/>
    <w:rsid w:val="004B593F"/>
    <w:rsid w:val="004B6894"/>
    <w:rsid w:val="004B7A57"/>
    <w:rsid w:val="004C09DC"/>
    <w:rsid w:val="004C516E"/>
    <w:rsid w:val="004D23D6"/>
    <w:rsid w:val="004D270C"/>
    <w:rsid w:val="004D4691"/>
    <w:rsid w:val="004E0D47"/>
    <w:rsid w:val="004E1EB9"/>
    <w:rsid w:val="004E36B7"/>
    <w:rsid w:val="004E3DD6"/>
    <w:rsid w:val="004E5F5D"/>
    <w:rsid w:val="004E6D89"/>
    <w:rsid w:val="004F0E53"/>
    <w:rsid w:val="004F5AA7"/>
    <w:rsid w:val="004F630E"/>
    <w:rsid w:val="004F6319"/>
    <w:rsid w:val="004F76BF"/>
    <w:rsid w:val="00500DF0"/>
    <w:rsid w:val="00501C8F"/>
    <w:rsid w:val="00504A48"/>
    <w:rsid w:val="00504BEF"/>
    <w:rsid w:val="00506412"/>
    <w:rsid w:val="0050654F"/>
    <w:rsid w:val="00507EAD"/>
    <w:rsid w:val="00514D7D"/>
    <w:rsid w:val="00522C24"/>
    <w:rsid w:val="00524C0F"/>
    <w:rsid w:val="00530901"/>
    <w:rsid w:val="00533745"/>
    <w:rsid w:val="00543981"/>
    <w:rsid w:val="00547FA2"/>
    <w:rsid w:val="00550CFB"/>
    <w:rsid w:val="00552480"/>
    <w:rsid w:val="00552808"/>
    <w:rsid w:val="00555C99"/>
    <w:rsid w:val="00563F0F"/>
    <w:rsid w:val="0056544A"/>
    <w:rsid w:val="0056673C"/>
    <w:rsid w:val="00567919"/>
    <w:rsid w:val="00572BE1"/>
    <w:rsid w:val="00577043"/>
    <w:rsid w:val="00580FB7"/>
    <w:rsid w:val="005843BF"/>
    <w:rsid w:val="00584511"/>
    <w:rsid w:val="00586115"/>
    <w:rsid w:val="0059588C"/>
    <w:rsid w:val="005A4911"/>
    <w:rsid w:val="005B12FD"/>
    <w:rsid w:val="005B6B13"/>
    <w:rsid w:val="005D212F"/>
    <w:rsid w:val="005D23BC"/>
    <w:rsid w:val="005E1A4C"/>
    <w:rsid w:val="005E2DFE"/>
    <w:rsid w:val="005E3BE2"/>
    <w:rsid w:val="005F0CF1"/>
    <w:rsid w:val="005F449E"/>
    <w:rsid w:val="005F7D2F"/>
    <w:rsid w:val="006000A7"/>
    <w:rsid w:val="00602336"/>
    <w:rsid w:val="0060490D"/>
    <w:rsid w:val="00605095"/>
    <w:rsid w:val="006065E6"/>
    <w:rsid w:val="00606D58"/>
    <w:rsid w:val="00610245"/>
    <w:rsid w:val="0061267E"/>
    <w:rsid w:val="00612A03"/>
    <w:rsid w:val="00614492"/>
    <w:rsid w:val="00614953"/>
    <w:rsid w:val="00614B07"/>
    <w:rsid w:val="00620C96"/>
    <w:rsid w:val="00621332"/>
    <w:rsid w:val="00621594"/>
    <w:rsid w:val="00624490"/>
    <w:rsid w:val="006436E0"/>
    <w:rsid w:val="00644624"/>
    <w:rsid w:val="00644DA8"/>
    <w:rsid w:val="00645203"/>
    <w:rsid w:val="00645E6B"/>
    <w:rsid w:val="006460AD"/>
    <w:rsid w:val="006529F4"/>
    <w:rsid w:val="00654AC5"/>
    <w:rsid w:val="00660E55"/>
    <w:rsid w:val="00662061"/>
    <w:rsid w:val="00664642"/>
    <w:rsid w:val="00665741"/>
    <w:rsid w:val="00667B58"/>
    <w:rsid w:val="00672BC2"/>
    <w:rsid w:val="00676C42"/>
    <w:rsid w:val="006805C8"/>
    <w:rsid w:val="006840C0"/>
    <w:rsid w:val="00695F33"/>
    <w:rsid w:val="0069635A"/>
    <w:rsid w:val="006968C0"/>
    <w:rsid w:val="006970A1"/>
    <w:rsid w:val="0069779A"/>
    <w:rsid w:val="006A7C17"/>
    <w:rsid w:val="006B11EE"/>
    <w:rsid w:val="006B3503"/>
    <w:rsid w:val="006B54FD"/>
    <w:rsid w:val="006C0FB5"/>
    <w:rsid w:val="006C1603"/>
    <w:rsid w:val="006C63E7"/>
    <w:rsid w:val="006C6C58"/>
    <w:rsid w:val="006C7C53"/>
    <w:rsid w:val="006D1135"/>
    <w:rsid w:val="006D1A97"/>
    <w:rsid w:val="006D2FCE"/>
    <w:rsid w:val="006D7273"/>
    <w:rsid w:val="006E1F20"/>
    <w:rsid w:val="006E406F"/>
    <w:rsid w:val="006E4277"/>
    <w:rsid w:val="006E4F36"/>
    <w:rsid w:val="006E535E"/>
    <w:rsid w:val="006E6C14"/>
    <w:rsid w:val="006F0137"/>
    <w:rsid w:val="006F5C85"/>
    <w:rsid w:val="006F6D72"/>
    <w:rsid w:val="007119C4"/>
    <w:rsid w:val="007127D3"/>
    <w:rsid w:val="00717AD1"/>
    <w:rsid w:val="007227F7"/>
    <w:rsid w:val="007265F1"/>
    <w:rsid w:val="00730042"/>
    <w:rsid w:val="00733910"/>
    <w:rsid w:val="00740BE2"/>
    <w:rsid w:val="00741E3D"/>
    <w:rsid w:val="0074584A"/>
    <w:rsid w:val="00751D04"/>
    <w:rsid w:val="0075392A"/>
    <w:rsid w:val="00754408"/>
    <w:rsid w:val="0076005A"/>
    <w:rsid w:val="007622CA"/>
    <w:rsid w:val="007622F6"/>
    <w:rsid w:val="00764BB4"/>
    <w:rsid w:val="00765EE4"/>
    <w:rsid w:val="00772799"/>
    <w:rsid w:val="00774D1A"/>
    <w:rsid w:val="00787C21"/>
    <w:rsid w:val="0079059F"/>
    <w:rsid w:val="00791AA0"/>
    <w:rsid w:val="00792811"/>
    <w:rsid w:val="00792B24"/>
    <w:rsid w:val="00793204"/>
    <w:rsid w:val="007949BB"/>
    <w:rsid w:val="00796A29"/>
    <w:rsid w:val="007A063C"/>
    <w:rsid w:val="007A3BDC"/>
    <w:rsid w:val="007B370D"/>
    <w:rsid w:val="007B5C0F"/>
    <w:rsid w:val="007B6092"/>
    <w:rsid w:val="007B6C01"/>
    <w:rsid w:val="007B75E7"/>
    <w:rsid w:val="007C5729"/>
    <w:rsid w:val="007C57D6"/>
    <w:rsid w:val="007C58BB"/>
    <w:rsid w:val="007C73B1"/>
    <w:rsid w:val="007C7FD7"/>
    <w:rsid w:val="007D26A7"/>
    <w:rsid w:val="007D4E15"/>
    <w:rsid w:val="007E30E0"/>
    <w:rsid w:val="007E48E1"/>
    <w:rsid w:val="007E5830"/>
    <w:rsid w:val="007E7271"/>
    <w:rsid w:val="007F0764"/>
    <w:rsid w:val="007F6062"/>
    <w:rsid w:val="007F74E8"/>
    <w:rsid w:val="0080340C"/>
    <w:rsid w:val="00805544"/>
    <w:rsid w:val="00811560"/>
    <w:rsid w:val="008159FE"/>
    <w:rsid w:val="00815B5F"/>
    <w:rsid w:val="008205D3"/>
    <w:rsid w:val="00821C50"/>
    <w:rsid w:val="00830BB7"/>
    <w:rsid w:val="00834C62"/>
    <w:rsid w:val="0083520C"/>
    <w:rsid w:val="00836416"/>
    <w:rsid w:val="008413F3"/>
    <w:rsid w:val="00845679"/>
    <w:rsid w:val="00850119"/>
    <w:rsid w:val="00852BF8"/>
    <w:rsid w:val="00855984"/>
    <w:rsid w:val="008605AC"/>
    <w:rsid w:val="00863C9A"/>
    <w:rsid w:val="008674A9"/>
    <w:rsid w:val="00872C38"/>
    <w:rsid w:val="008730CE"/>
    <w:rsid w:val="00873F4C"/>
    <w:rsid w:val="00887944"/>
    <w:rsid w:val="00890ABF"/>
    <w:rsid w:val="00890C4A"/>
    <w:rsid w:val="0089302D"/>
    <w:rsid w:val="00893D58"/>
    <w:rsid w:val="008942E4"/>
    <w:rsid w:val="008A2D0A"/>
    <w:rsid w:val="008B110E"/>
    <w:rsid w:val="008B18D6"/>
    <w:rsid w:val="008B59B7"/>
    <w:rsid w:val="008B7652"/>
    <w:rsid w:val="008C0FF3"/>
    <w:rsid w:val="008C1FFC"/>
    <w:rsid w:val="008C3413"/>
    <w:rsid w:val="008C4C41"/>
    <w:rsid w:val="008C64BD"/>
    <w:rsid w:val="008C6657"/>
    <w:rsid w:val="008D1BC8"/>
    <w:rsid w:val="008D2036"/>
    <w:rsid w:val="008D4274"/>
    <w:rsid w:val="008D4DAD"/>
    <w:rsid w:val="008D6B4F"/>
    <w:rsid w:val="008E1D76"/>
    <w:rsid w:val="008E30EF"/>
    <w:rsid w:val="008E40AD"/>
    <w:rsid w:val="008E45FE"/>
    <w:rsid w:val="008E50D1"/>
    <w:rsid w:val="008E55A5"/>
    <w:rsid w:val="008E6DDB"/>
    <w:rsid w:val="008F29ED"/>
    <w:rsid w:val="008F4EAC"/>
    <w:rsid w:val="008F5125"/>
    <w:rsid w:val="008F7CFA"/>
    <w:rsid w:val="00901FC6"/>
    <w:rsid w:val="00902F45"/>
    <w:rsid w:val="00903887"/>
    <w:rsid w:val="0091507B"/>
    <w:rsid w:val="00921884"/>
    <w:rsid w:val="00923DC9"/>
    <w:rsid w:val="00924870"/>
    <w:rsid w:val="00925F4C"/>
    <w:rsid w:val="00926556"/>
    <w:rsid w:val="009312F6"/>
    <w:rsid w:val="00931F50"/>
    <w:rsid w:val="009330B3"/>
    <w:rsid w:val="00937044"/>
    <w:rsid w:val="009373E6"/>
    <w:rsid w:val="009403A8"/>
    <w:rsid w:val="00941DCF"/>
    <w:rsid w:val="009444F2"/>
    <w:rsid w:val="009458B6"/>
    <w:rsid w:val="00947266"/>
    <w:rsid w:val="00950ED2"/>
    <w:rsid w:val="0095208A"/>
    <w:rsid w:val="00954BA2"/>
    <w:rsid w:val="00954E00"/>
    <w:rsid w:val="00957ED5"/>
    <w:rsid w:val="00965408"/>
    <w:rsid w:val="00966885"/>
    <w:rsid w:val="0097244B"/>
    <w:rsid w:val="00976881"/>
    <w:rsid w:val="00977A21"/>
    <w:rsid w:val="00977C04"/>
    <w:rsid w:val="009818B9"/>
    <w:rsid w:val="00983194"/>
    <w:rsid w:val="0099712A"/>
    <w:rsid w:val="00997984"/>
    <w:rsid w:val="009A0472"/>
    <w:rsid w:val="009A10D2"/>
    <w:rsid w:val="009A1A0C"/>
    <w:rsid w:val="009A2383"/>
    <w:rsid w:val="009A25E8"/>
    <w:rsid w:val="009B5159"/>
    <w:rsid w:val="009B7B2E"/>
    <w:rsid w:val="009C180D"/>
    <w:rsid w:val="009C394D"/>
    <w:rsid w:val="009C7D9D"/>
    <w:rsid w:val="009D0869"/>
    <w:rsid w:val="009D4831"/>
    <w:rsid w:val="009D5815"/>
    <w:rsid w:val="009D680F"/>
    <w:rsid w:val="009E0BE1"/>
    <w:rsid w:val="009E2C7B"/>
    <w:rsid w:val="009E6797"/>
    <w:rsid w:val="009E7494"/>
    <w:rsid w:val="009F10A3"/>
    <w:rsid w:val="009F1325"/>
    <w:rsid w:val="009F159F"/>
    <w:rsid w:val="009F229F"/>
    <w:rsid w:val="009F453C"/>
    <w:rsid w:val="009F47BA"/>
    <w:rsid w:val="009F6242"/>
    <w:rsid w:val="009F7F07"/>
    <w:rsid w:val="00A016F1"/>
    <w:rsid w:val="00A04A04"/>
    <w:rsid w:val="00A05B69"/>
    <w:rsid w:val="00A07869"/>
    <w:rsid w:val="00A11134"/>
    <w:rsid w:val="00A112F6"/>
    <w:rsid w:val="00A14867"/>
    <w:rsid w:val="00A1588A"/>
    <w:rsid w:val="00A16454"/>
    <w:rsid w:val="00A27805"/>
    <w:rsid w:val="00A30670"/>
    <w:rsid w:val="00A3089B"/>
    <w:rsid w:val="00A318B9"/>
    <w:rsid w:val="00A32B49"/>
    <w:rsid w:val="00A35423"/>
    <w:rsid w:val="00A435A7"/>
    <w:rsid w:val="00A4585C"/>
    <w:rsid w:val="00A50302"/>
    <w:rsid w:val="00A529CA"/>
    <w:rsid w:val="00A529DE"/>
    <w:rsid w:val="00A540B6"/>
    <w:rsid w:val="00A57DF9"/>
    <w:rsid w:val="00A63BFC"/>
    <w:rsid w:val="00A720E8"/>
    <w:rsid w:val="00A72FB6"/>
    <w:rsid w:val="00A73333"/>
    <w:rsid w:val="00A74966"/>
    <w:rsid w:val="00A76065"/>
    <w:rsid w:val="00A83433"/>
    <w:rsid w:val="00A85C49"/>
    <w:rsid w:val="00A86ADC"/>
    <w:rsid w:val="00A93E4B"/>
    <w:rsid w:val="00A950B6"/>
    <w:rsid w:val="00AA43BC"/>
    <w:rsid w:val="00AA4BB3"/>
    <w:rsid w:val="00AA7D80"/>
    <w:rsid w:val="00AB2C72"/>
    <w:rsid w:val="00AB44C0"/>
    <w:rsid w:val="00AB683F"/>
    <w:rsid w:val="00AC143F"/>
    <w:rsid w:val="00AC279B"/>
    <w:rsid w:val="00AC3925"/>
    <w:rsid w:val="00AC3F67"/>
    <w:rsid w:val="00AC6886"/>
    <w:rsid w:val="00AC6C1B"/>
    <w:rsid w:val="00AD1738"/>
    <w:rsid w:val="00AD2DB1"/>
    <w:rsid w:val="00AD7D7F"/>
    <w:rsid w:val="00AE1A36"/>
    <w:rsid w:val="00AE1DE2"/>
    <w:rsid w:val="00AE46FB"/>
    <w:rsid w:val="00AE7B47"/>
    <w:rsid w:val="00AF08F8"/>
    <w:rsid w:val="00AF0956"/>
    <w:rsid w:val="00AF174F"/>
    <w:rsid w:val="00AF2448"/>
    <w:rsid w:val="00AF2F03"/>
    <w:rsid w:val="00AF36A2"/>
    <w:rsid w:val="00B00A9B"/>
    <w:rsid w:val="00B0789B"/>
    <w:rsid w:val="00B107D9"/>
    <w:rsid w:val="00B15814"/>
    <w:rsid w:val="00B2020A"/>
    <w:rsid w:val="00B2058D"/>
    <w:rsid w:val="00B325E9"/>
    <w:rsid w:val="00B328A1"/>
    <w:rsid w:val="00B3327D"/>
    <w:rsid w:val="00B343BC"/>
    <w:rsid w:val="00B35DAC"/>
    <w:rsid w:val="00B36DD3"/>
    <w:rsid w:val="00B41CA9"/>
    <w:rsid w:val="00B41CE7"/>
    <w:rsid w:val="00B452C4"/>
    <w:rsid w:val="00B47700"/>
    <w:rsid w:val="00B47F3A"/>
    <w:rsid w:val="00B47FA3"/>
    <w:rsid w:val="00B56034"/>
    <w:rsid w:val="00B57828"/>
    <w:rsid w:val="00B607CA"/>
    <w:rsid w:val="00B63D53"/>
    <w:rsid w:val="00B7234D"/>
    <w:rsid w:val="00B762B1"/>
    <w:rsid w:val="00B779F0"/>
    <w:rsid w:val="00B804C7"/>
    <w:rsid w:val="00B806B5"/>
    <w:rsid w:val="00B80E1A"/>
    <w:rsid w:val="00B828B6"/>
    <w:rsid w:val="00B94FA7"/>
    <w:rsid w:val="00B97799"/>
    <w:rsid w:val="00BA287B"/>
    <w:rsid w:val="00BA5B4A"/>
    <w:rsid w:val="00BA61D2"/>
    <w:rsid w:val="00BB19D2"/>
    <w:rsid w:val="00BB5145"/>
    <w:rsid w:val="00BC5C05"/>
    <w:rsid w:val="00BD0C92"/>
    <w:rsid w:val="00BD13BA"/>
    <w:rsid w:val="00BE024E"/>
    <w:rsid w:val="00BE1C12"/>
    <w:rsid w:val="00BE45E6"/>
    <w:rsid w:val="00BE54CB"/>
    <w:rsid w:val="00BE6AA2"/>
    <w:rsid w:val="00BF582D"/>
    <w:rsid w:val="00BF72B9"/>
    <w:rsid w:val="00C00A98"/>
    <w:rsid w:val="00C02132"/>
    <w:rsid w:val="00C0432A"/>
    <w:rsid w:val="00C106FA"/>
    <w:rsid w:val="00C10F8D"/>
    <w:rsid w:val="00C12C78"/>
    <w:rsid w:val="00C214EC"/>
    <w:rsid w:val="00C25D53"/>
    <w:rsid w:val="00C27392"/>
    <w:rsid w:val="00C27DE7"/>
    <w:rsid w:val="00C302BE"/>
    <w:rsid w:val="00C309D1"/>
    <w:rsid w:val="00C3169E"/>
    <w:rsid w:val="00C40998"/>
    <w:rsid w:val="00C45A2B"/>
    <w:rsid w:val="00C50306"/>
    <w:rsid w:val="00C50B5B"/>
    <w:rsid w:val="00C50E5F"/>
    <w:rsid w:val="00C511CD"/>
    <w:rsid w:val="00C53326"/>
    <w:rsid w:val="00C6047E"/>
    <w:rsid w:val="00C6084B"/>
    <w:rsid w:val="00C62C24"/>
    <w:rsid w:val="00C65443"/>
    <w:rsid w:val="00C67281"/>
    <w:rsid w:val="00C674CB"/>
    <w:rsid w:val="00C72E23"/>
    <w:rsid w:val="00C757AD"/>
    <w:rsid w:val="00C839F7"/>
    <w:rsid w:val="00C84F1A"/>
    <w:rsid w:val="00C8542E"/>
    <w:rsid w:val="00C87FE7"/>
    <w:rsid w:val="00C93E4B"/>
    <w:rsid w:val="00C97DA9"/>
    <w:rsid w:val="00CA0CAB"/>
    <w:rsid w:val="00CA1A43"/>
    <w:rsid w:val="00CA273C"/>
    <w:rsid w:val="00CA2ADC"/>
    <w:rsid w:val="00CA30A4"/>
    <w:rsid w:val="00CA5AA9"/>
    <w:rsid w:val="00CB160C"/>
    <w:rsid w:val="00CB2EBB"/>
    <w:rsid w:val="00CB64D0"/>
    <w:rsid w:val="00CC5263"/>
    <w:rsid w:val="00CD1E29"/>
    <w:rsid w:val="00CD7DAF"/>
    <w:rsid w:val="00CE0EF8"/>
    <w:rsid w:val="00CE1DFA"/>
    <w:rsid w:val="00CE1F03"/>
    <w:rsid w:val="00CE2EE0"/>
    <w:rsid w:val="00CE2FA6"/>
    <w:rsid w:val="00CF1C96"/>
    <w:rsid w:val="00CF592D"/>
    <w:rsid w:val="00D0792E"/>
    <w:rsid w:val="00D07973"/>
    <w:rsid w:val="00D145A1"/>
    <w:rsid w:val="00D15617"/>
    <w:rsid w:val="00D164DC"/>
    <w:rsid w:val="00D210DA"/>
    <w:rsid w:val="00D24F8F"/>
    <w:rsid w:val="00D27F64"/>
    <w:rsid w:val="00D31234"/>
    <w:rsid w:val="00D322A5"/>
    <w:rsid w:val="00D344DB"/>
    <w:rsid w:val="00D34B60"/>
    <w:rsid w:val="00D40EC9"/>
    <w:rsid w:val="00D4177F"/>
    <w:rsid w:val="00D4239D"/>
    <w:rsid w:val="00D4288F"/>
    <w:rsid w:val="00D441A0"/>
    <w:rsid w:val="00D4523D"/>
    <w:rsid w:val="00D47062"/>
    <w:rsid w:val="00D51549"/>
    <w:rsid w:val="00D54AA1"/>
    <w:rsid w:val="00D5506C"/>
    <w:rsid w:val="00D60091"/>
    <w:rsid w:val="00D602B3"/>
    <w:rsid w:val="00D609B5"/>
    <w:rsid w:val="00D6232A"/>
    <w:rsid w:val="00D6300B"/>
    <w:rsid w:val="00D64F9B"/>
    <w:rsid w:val="00D70F6A"/>
    <w:rsid w:val="00D7246D"/>
    <w:rsid w:val="00D72F79"/>
    <w:rsid w:val="00D76E1E"/>
    <w:rsid w:val="00D84BA9"/>
    <w:rsid w:val="00D85C4B"/>
    <w:rsid w:val="00D86181"/>
    <w:rsid w:val="00D87599"/>
    <w:rsid w:val="00D875D1"/>
    <w:rsid w:val="00D8770C"/>
    <w:rsid w:val="00D9134D"/>
    <w:rsid w:val="00D913E5"/>
    <w:rsid w:val="00D94690"/>
    <w:rsid w:val="00D96004"/>
    <w:rsid w:val="00D978DC"/>
    <w:rsid w:val="00D97DF8"/>
    <w:rsid w:val="00DA3DA9"/>
    <w:rsid w:val="00DA4094"/>
    <w:rsid w:val="00DA5F06"/>
    <w:rsid w:val="00DA632A"/>
    <w:rsid w:val="00DB102C"/>
    <w:rsid w:val="00DB1102"/>
    <w:rsid w:val="00DB3307"/>
    <w:rsid w:val="00DB3B54"/>
    <w:rsid w:val="00DB587D"/>
    <w:rsid w:val="00DB71AE"/>
    <w:rsid w:val="00DC0A43"/>
    <w:rsid w:val="00DE0C91"/>
    <w:rsid w:val="00DE1A35"/>
    <w:rsid w:val="00DE6CE2"/>
    <w:rsid w:val="00DF0E3E"/>
    <w:rsid w:val="00DF6D29"/>
    <w:rsid w:val="00E0209E"/>
    <w:rsid w:val="00E04DF5"/>
    <w:rsid w:val="00E12170"/>
    <w:rsid w:val="00E2005B"/>
    <w:rsid w:val="00E2674B"/>
    <w:rsid w:val="00E300EC"/>
    <w:rsid w:val="00E31B21"/>
    <w:rsid w:val="00E3494E"/>
    <w:rsid w:val="00E4097D"/>
    <w:rsid w:val="00E42047"/>
    <w:rsid w:val="00E43AB8"/>
    <w:rsid w:val="00E46DBF"/>
    <w:rsid w:val="00E50771"/>
    <w:rsid w:val="00E54212"/>
    <w:rsid w:val="00E5480F"/>
    <w:rsid w:val="00E56113"/>
    <w:rsid w:val="00E605D4"/>
    <w:rsid w:val="00E62427"/>
    <w:rsid w:val="00E67EEA"/>
    <w:rsid w:val="00E7016A"/>
    <w:rsid w:val="00E71DE3"/>
    <w:rsid w:val="00E75B58"/>
    <w:rsid w:val="00E77A77"/>
    <w:rsid w:val="00E824F2"/>
    <w:rsid w:val="00E835AD"/>
    <w:rsid w:val="00E83CFF"/>
    <w:rsid w:val="00E85223"/>
    <w:rsid w:val="00E86D06"/>
    <w:rsid w:val="00E92286"/>
    <w:rsid w:val="00E93E8B"/>
    <w:rsid w:val="00E95EBE"/>
    <w:rsid w:val="00E96383"/>
    <w:rsid w:val="00EA0FDF"/>
    <w:rsid w:val="00EA289A"/>
    <w:rsid w:val="00EA38FF"/>
    <w:rsid w:val="00EA5F5D"/>
    <w:rsid w:val="00EC4967"/>
    <w:rsid w:val="00EC7DA6"/>
    <w:rsid w:val="00EC7EDD"/>
    <w:rsid w:val="00ED22E9"/>
    <w:rsid w:val="00ED4579"/>
    <w:rsid w:val="00ED73B6"/>
    <w:rsid w:val="00ED7F53"/>
    <w:rsid w:val="00EE26B6"/>
    <w:rsid w:val="00EE719D"/>
    <w:rsid w:val="00EE7FEF"/>
    <w:rsid w:val="00EF272C"/>
    <w:rsid w:val="00F004C0"/>
    <w:rsid w:val="00F01611"/>
    <w:rsid w:val="00F02FCD"/>
    <w:rsid w:val="00F06EF3"/>
    <w:rsid w:val="00F10FC8"/>
    <w:rsid w:val="00F12E28"/>
    <w:rsid w:val="00F13052"/>
    <w:rsid w:val="00F14E38"/>
    <w:rsid w:val="00F164D1"/>
    <w:rsid w:val="00F17053"/>
    <w:rsid w:val="00F20B65"/>
    <w:rsid w:val="00F22309"/>
    <w:rsid w:val="00F223D2"/>
    <w:rsid w:val="00F251AE"/>
    <w:rsid w:val="00F259A9"/>
    <w:rsid w:val="00F303D3"/>
    <w:rsid w:val="00F30C26"/>
    <w:rsid w:val="00F35B94"/>
    <w:rsid w:val="00F43BD3"/>
    <w:rsid w:val="00F50E36"/>
    <w:rsid w:val="00F51F52"/>
    <w:rsid w:val="00F53645"/>
    <w:rsid w:val="00F620B5"/>
    <w:rsid w:val="00F63F05"/>
    <w:rsid w:val="00F65692"/>
    <w:rsid w:val="00F65FA1"/>
    <w:rsid w:val="00F66B3A"/>
    <w:rsid w:val="00F70B99"/>
    <w:rsid w:val="00F77073"/>
    <w:rsid w:val="00F81228"/>
    <w:rsid w:val="00F83D2D"/>
    <w:rsid w:val="00F85330"/>
    <w:rsid w:val="00F8553B"/>
    <w:rsid w:val="00F9529E"/>
    <w:rsid w:val="00F95A52"/>
    <w:rsid w:val="00F96F2A"/>
    <w:rsid w:val="00FA3775"/>
    <w:rsid w:val="00FA466E"/>
    <w:rsid w:val="00FA4EFA"/>
    <w:rsid w:val="00FA5D43"/>
    <w:rsid w:val="00FA5F84"/>
    <w:rsid w:val="00FA6C51"/>
    <w:rsid w:val="00FA7B72"/>
    <w:rsid w:val="00FB589C"/>
    <w:rsid w:val="00FB7579"/>
    <w:rsid w:val="00FB7703"/>
    <w:rsid w:val="00FC49A4"/>
    <w:rsid w:val="00FC5178"/>
    <w:rsid w:val="00FC7357"/>
    <w:rsid w:val="00FD0A0D"/>
    <w:rsid w:val="00FD2BF3"/>
    <w:rsid w:val="00FD4659"/>
    <w:rsid w:val="00FD4A01"/>
    <w:rsid w:val="00FE04FB"/>
    <w:rsid w:val="00FE202A"/>
    <w:rsid w:val="00FE256C"/>
    <w:rsid w:val="00FE26C7"/>
    <w:rsid w:val="00FE420D"/>
    <w:rsid w:val="00FE50A5"/>
    <w:rsid w:val="00FE6310"/>
    <w:rsid w:val="00FF0C34"/>
    <w:rsid w:val="00FF2206"/>
    <w:rsid w:val="00FF3A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9FFDC173-6CD7-40DF-9057-FD65F749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4C"/>
    <w:pPr>
      <w:spacing w:after="120"/>
      <w:jc w:val="both"/>
    </w:pPr>
    <w:rPr>
      <w:rFonts w:ascii="Calibri" w:hAnsi="Calibri"/>
      <w:sz w:val="22"/>
    </w:rPr>
  </w:style>
  <w:style w:type="paragraph" w:styleId="Titre1">
    <w:name w:val="heading 1"/>
    <w:basedOn w:val="Normal"/>
    <w:next w:val="Normal"/>
    <w:qFormat/>
    <w:rsid w:val="00003E99"/>
    <w:pPr>
      <w:keepNext/>
      <w:spacing w:before="360" w:after="360"/>
      <w:outlineLvl w:val="0"/>
    </w:pPr>
    <w:rPr>
      <w:b/>
      <w:sz w:val="36"/>
      <w:szCs w:val="36"/>
    </w:rPr>
  </w:style>
  <w:style w:type="paragraph" w:styleId="Titre2">
    <w:name w:val="heading 2"/>
    <w:basedOn w:val="Normal"/>
    <w:next w:val="Normal"/>
    <w:qFormat/>
    <w:rsid w:val="008730CE"/>
    <w:pPr>
      <w:keepNext/>
      <w:spacing w:before="240"/>
      <w:outlineLvl w:val="1"/>
    </w:pPr>
    <w:rPr>
      <w:b/>
      <w:sz w:val="26"/>
      <w:szCs w:val="26"/>
      <w:u w:val="single"/>
    </w:rPr>
  </w:style>
  <w:style w:type="paragraph" w:styleId="Titre3">
    <w:name w:val="heading 3"/>
    <w:basedOn w:val="Normal"/>
    <w:next w:val="Normal"/>
    <w:qFormat/>
    <w:rsid w:val="00C25D53"/>
    <w:pPr>
      <w:keepNext/>
      <w:spacing w:before="360"/>
      <w:jc w:val="left"/>
      <w:outlineLvl w:val="2"/>
    </w:pPr>
    <w:rPr>
      <w:i/>
      <w:sz w:val="24"/>
      <w:u w:val="single"/>
    </w:rPr>
  </w:style>
  <w:style w:type="paragraph" w:styleId="Titre4">
    <w:name w:val="heading 4"/>
    <w:basedOn w:val="Normal"/>
    <w:next w:val="Normal"/>
    <w:qFormat/>
    <w:pPr>
      <w:keepNext/>
      <w:spacing w:before="2520"/>
      <w:jc w:val="center"/>
      <w:outlineLvl w:val="3"/>
    </w:pPr>
    <w:rPr>
      <w:b/>
      <w:sz w:val="40"/>
    </w:rPr>
  </w:style>
  <w:style w:type="paragraph" w:styleId="Titre5">
    <w:name w:val="heading 5"/>
    <w:basedOn w:val="Normal"/>
    <w:next w:val="Normal"/>
    <w:link w:val="Titre5Car"/>
    <w:qFormat/>
    <w:pPr>
      <w:keepNext/>
      <w:outlineLvl w:val="4"/>
    </w:pPr>
    <w:rPr>
      <w:bCs/>
      <w:sz w:val="32"/>
    </w:rPr>
  </w:style>
  <w:style w:type="paragraph" w:styleId="Titre6">
    <w:name w:val="heading 6"/>
    <w:basedOn w:val="Normal"/>
    <w:next w:val="Normal"/>
    <w:qFormat/>
    <w:pPr>
      <w:keepNext/>
      <w:spacing w:after="720"/>
      <w:outlineLvl w:val="5"/>
    </w:pPr>
    <w:rPr>
      <w:b/>
      <w:sz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link w:val="CorpsdetexteCar"/>
    <w:pPr>
      <w:tabs>
        <w:tab w:val="left" w:pos="1701"/>
      </w:tabs>
    </w:pPr>
    <w:rPr>
      <w:sz w:val="24"/>
    </w:rPr>
  </w:style>
  <w:style w:type="paragraph" w:styleId="Corpsdetexte2">
    <w:name w:val="Body Text 2"/>
    <w:basedOn w:val="Normal"/>
    <w:link w:val="Corpsdetexte2Car"/>
    <w:rPr>
      <w:i/>
      <w:iCs/>
      <w:sz w:val="24"/>
    </w:rPr>
  </w:style>
  <w:style w:type="paragraph" w:styleId="Corpsdetexte3">
    <w:name w:val="Body Text 3"/>
    <w:basedOn w:val="Normal"/>
    <w:pPr>
      <w:tabs>
        <w:tab w:val="left" w:pos="1701"/>
      </w:tabs>
      <w:ind w:right="-29"/>
    </w:pPr>
    <w:rPr>
      <w:sz w:val="24"/>
    </w:rPr>
  </w:style>
  <w:style w:type="paragraph" w:styleId="Retraitcorpsdetexte">
    <w:name w:val="Body Text Indent"/>
    <w:basedOn w:val="Normal"/>
    <w:pPr>
      <w:spacing w:after="240"/>
      <w:ind w:firstLine="709"/>
    </w:pPr>
    <w:rPr>
      <w:sz w:val="24"/>
    </w:rPr>
  </w:style>
  <w:style w:type="paragraph" w:customStyle="1" w:styleId="xl29">
    <w:name w:val="xl29"/>
    <w:basedOn w:val="Normal"/>
    <w:pPr>
      <w:pBdr>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24">
    <w:name w:val="xl24"/>
    <w:basedOn w:val="Normal"/>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25">
    <w:name w:val="xl25"/>
    <w:basedOn w:val="Normal"/>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26">
    <w:name w:val="xl26"/>
    <w:basedOn w:val="Normal"/>
    <w:pPr>
      <w:pBdr>
        <w:left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7">
    <w:name w:val="xl27"/>
    <w:basedOn w:val="Normal"/>
    <w:pPr>
      <w:pBdr>
        <w:left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pPr>
      <w:pBdr>
        <w:left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0">
    <w:name w:val="xl30"/>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Normal"/>
    <w:pPr>
      <w:pBdr>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3">
    <w:name w:val="xl33"/>
    <w:basedOn w:val="Normal"/>
    <w:pPr>
      <w:pBdr>
        <w:right w:val="single" w:sz="4" w:space="0" w:color="auto"/>
      </w:pBdr>
      <w:spacing w:before="100" w:beforeAutospacing="1" w:after="100" w:afterAutospacing="1"/>
    </w:pPr>
    <w:rPr>
      <w:rFonts w:ascii="Arial" w:eastAsia="Arial Unicode MS" w:hAnsi="Arial" w:cs="Arial"/>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24"/>
      <w:szCs w:val="24"/>
    </w:rPr>
  </w:style>
  <w:style w:type="paragraph" w:customStyle="1" w:styleId="xl35">
    <w:name w:val="xl35"/>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36">
    <w:name w:val="xl36"/>
    <w:basedOn w:val="Normal"/>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37">
    <w:name w:val="xl37"/>
    <w:basedOn w:val="Normal"/>
    <w:pPr>
      <w:pBdr>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38">
    <w:name w:val="xl38"/>
    <w:basedOn w:val="Normal"/>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39">
    <w:name w:val="xl39"/>
    <w:basedOn w:val="Normal"/>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40">
    <w:name w:val="xl40"/>
    <w:basedOn w:val="Normal"/>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41">
    <w:name w:val="xl41"/>
    <w:basedOn w:val="Normal"/>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42">
    <w:name w:val="xl42"/>
    <w:basedOn w:val="Normal"/>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sz w:val="24"/>
      <w:szCs w:val="24"/>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44">
    <w:name w:val="xl44"/>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45">
    <w:name w:val="xl45"/>
    <w:basedOn w:val="Normal"/>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24"/>
      <w:szCs w:val="24"/>
    </w:rPr>
  </w:style>
  <w:style w:type="paragraph" w:customStyle="1" w:styleId="xl47">
    <w:name w:val="xl47"/>
    <w:basedOn w:val="Normal"/>
    <w:pPr>
      <w:pBdr>
        <w:top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48">
    <w:name w:val="xl48"/>
    <w:basedOn w:val="Normal"/>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24"/>
      <w:szCs w:val="24"/>
    </w:rPr>
  </w:style>
  <w:style w:type="paragraph" w:customStyle="1" w:styleId="xl51">
    <w:name w:val="xl51"/>
    <w:basedOn w:val="Normal"/>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avec-espace-dessous">
    <w:name w:val="avec-espace-dessous"/>
    <w:basedOn w:val="Normal"/>
    <w:rsid w:val="000B7BAE"/>
    <w:pPr>
      <w:spacing w:after="240" w:line="384" w:lineRule="atLeast"/>
    </w:pPr>
    <w:rPr>
      <w:sz w:val="24"/>
      <w:szCs w:val="24"/>
    </w:rPr>
  </w:style>
  <w:style w:type="character" w:styleId="Marquedecommentaire">
    <w:name w:val="annotation reference"/>
    <w:semiHidden/>
    <w:rsid w:val="00EE7FEF"/>
    <w:rPr>
      <w:sz w:val="16"/>
      <w:szCs w:val="16"/>
    </w:rPr>
  </w:style>
  <w:style w:type="paragraph" w:styleId="Commentaire">
    <w:name w:val="annotation text"/>
    <w:basedOn w:val="Normal"/>
    <w:semiHidden/>
    <w:rsid w:val="00EE7FEF"/>
  </w:style>
  <w:style w:type="paragraph" w:styleId="Objetducommentaire">
    <w:name w:val="annotation subject"/>
    <w:basedOn w:val="Commentaire"/>
    <w:next w:val="Commentaire"/>
    <w:semiHidden/>
    <w:rsid w:val="00EE7FEF"/>
    <w:rPr>
      <w:b/>
      <w:bCs/>
    </w:rPr>
  </w:style>
  <w:style w:type="paragraph" w:styleId="Textedebulles">
    <w:name w:val="Balloon Text"/>
    <w:basedOn w:val="Normal"/>
    <w:semiHidden/>
    <w:rsid w:val="00EE7FEF"/>
    <w:rPr>
      <w:rFonts w:ascii="Tahoma" w:hAnsi="Tahoma" w:cs="Tahoma"/>
      <w:sz w:val="16"/>
      <w:szCs w:val="16"/>
    </w:rPr>
  </w:style>
  <w:style w:type="paragraph" w:customStyle="1" w:styleId="NormalWeb1">
    <w:name w:val="Normal (Web)1"/>
    <w:basedOn w:val="Normal"/>
    <w:rsid w:val="007949BB"/>
    <w:pPr>
      <w:spacing w:before="120"/>
    </w:pPr>
    <w:rPr>
      <w:sz w:val="24"/>
      <w:szCs w:val="24"/>
    </w:rPr>
  </w:style>
  <w:style w:type="paragraph" w:customStyle="1" w:styleId="resume1">
    <w:name w:val="resume1"/>
    <w:basedOn w:val="Normal"/>
    <w:rsid w:val="009403A8"/>
    <w:pPr>
      <w:spacing w:before="120"/>
      <w:jc w:val="right"/>
    </w:pPr>
    <w:rPr>
      <w:i/>
      <w:iCs/>
      <w:sz w:val="24"/>
      <w:szCs w:val="24"/>
    </w:rPr>
  </w:style>
  <w:style w:type="table" w:styleId="Grilledutableau">
    <w:name w:val="Table Grid"/>
    <w:basedOn w:val="TableauNormal"/>
    <w:rsid w:val="00940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5Car">
    <w:name w:val="Titre 5 Car"/>
    <w:link w:val="Titre5"/>
    <w:rsid w:val="00A540B6"/>
    <w:rPr>
      <w:bCs/>
      <w:sz w:val="32"/>
    </w:rPr>
  </w:style>
  <w:style w:type="character" w:customStyle="1" w:styleId="CorpsdetexteCar">
    <w:name w:val="Corps de texte Car"/>
    <w:link w:val="Corpsdetexte"/>
    <w:rsid w:val="00D875D1"/>
    <w:rPr>
      <w:sz w:val="24"/>
    </w:rPr>
  </w:style>
  <w:style w:type="character" w:customStyle="1" w:styleId="Corpsdetexte2Car">
    <w:name w:val="Corps de texte 2 Car"/>
    <w:link w:val="Corpsdetexte2"/>
    <w:rsid w:val="00D875D1"/>
    <w:rPr>
      <w:i/>
      <w:iCs/>
      <w:sz w:val="24"/>
    </w:rPr>
  </w:style>
  <w:style w:type="paragraph" w:styleId="Titre">
    <w:name w:val="Title"/>
    <w:basedOn w:val="Normal"/>
    <w:next w:val="Normal"/>
    <w:link w:val="TitreCar"/>
    <w:qFormat/>
    <w:rsid w:val="0056544A"/>
    <w:pPr>
      <w:pBdr>
        <w:top w:val="single" w:sz="4" w:space="1" w:color="auto"/>
        <w:left w:val="single" w:sz="4" w:space="4" w:color="auto"/>
        <w:bottom w:val="single" w:sz="4" w:space="1" w:color="auto"/>
        <w:right w:val="single" w:sz="4" w:space="4" w:color="auto"/>
      </w:pBdr>
      <w:spacing w:after="480"/>
      <w:jc w:val="center"/>
      <w:outlineLvl w:val="0"/>
    </w:pPr>
    <w:rPr>
      <w:rFonts w:ascii="Cambria" w:hAnsi="Cambria"/>
      <w:b/>
      <w:bCs/>
      <w:kern w:val="28"/>
      <w:sz w:val="32"/>
      <w:szCs w:val="32"/>
    </w:rPr>
  </w:style>
  <w:style w:type="character" w:customStyle="1" w:styleId="TitreCar">
    <w:name w:val="Titre Car"/>
    <w:link w:val="Titre"/>
    <w:rsid w:val="0056544A"/>
    <w:rPr>
      <w:rFonts w:ascii="Cambria" w:hAnsi="Cambria"/>
      <w:b/>
      <w:bCs/>
      <w:kern w:val="28"/>
      <w:sz w:val="32"/>
      <w:szCs w:val="32"/>
    </w:rPr>
  </w:style>
  <w:style w:type="paragraph" w:styleId="En-ttedetabledesmatires">
    <w:name w:val="TOC Heading"/>
    <w:basedOn w:val="Titre1"/>
    <w:next w:val="Normal"/>
    <w:uiPriority w:val="39"/>
    <w:qFormat/>
    <w:rsid w:val="00CC5263"/>
    <w:pPr>
      <w:keepLines/>
      <w:spacing w:before="480" w:after="0" w:line="276" w:lineRule="auto"/>
      <w:outlineLvl w:val="9"/>
    </w:pPr>
    <w:rPr>
      <w:rFonts w:ascii="Cambria" w:hAnsi="Cambria"/>
      <w:bCs/>
      <w:color w:val="365F91"/>
      <w:szCs w:val="28"/>
    </w:rPr>
  </w:style>
  <w:style w:type="paragraph" w:styleId="TM1">
    <w:name w:val="toc 1"/>
    <w:basedOn w:val="Normal"/>
    <w:next w:val="Normal"/>
    <w:autoRedefine/>
    <w:uiPriority w:val="39"/>
    <w:qFormat/>
    <w:rsid w:val="00DE6CE2"/>
    <w:pPr>
      <w:tabs>
        <w:tab w:val="right" w:leader="dot" w:pos="10195"/>
      </w:tabs>
      <w:spacing w:before="60" w:after="0" w:line="360" w:lineRule="auto"/>
    </w:pPr>
    <w:rPr>
      <w:noProof/>
    </w:rPr>
  </w:style>
  <w:style w:type="paragraph" w:styleId="TM2">
    <w:name w:val="toc 2"/>
    <w:basedOn w:val="Normal"/>
    <w:next w:val="Normal"/>
    <w:autoRedefine/>
    <w:uiPriority w:val="39"/>
    <w:qFormat/>
    <w:rsid w:val="00B828B6"/>
    <w:pPr>
      <w:tabs>
        <w:tab w:val="right" w:leader="dot" w:pos="10195"/>
      </w:tabs>
      <w:spacing w:after="0"/>
      <w:ind w:left="200"/>
    </w:pPr>
    <w:rPr>
      <w:noProof/>
    </w:rPr>
  </w:style>
  <w:style w:type="character" w:styleId="Lienhypertexte">
    <w:name w:val="Hyperlink"/>
    <w:uiPriority w:val="99"/>
    <w:unhideWhenUsed/>
    <w:rsid w:val="00CC5263"/>
    <w:rPr>
      <w:color w:val="0000FF"/>
      <w:u w:val="single"/>
    </w:rPr>
  </w:style>
  <w:style w:type="paragraph" w:styleId="TM3">
    <w:name w:val="toc 3"/>
    <w:basedOn w:val="Normal"/>
    <w:next w:val="Normal"/>
    <w:autoRedefine/>
    <w:uiPriority w:val="39"/>
    <w:unhideWhenUsed/>
    <w:qFormat/>
    <w:rsid w:val="00CC5263"/>
    <w:pPr>
      <w:spacing w:after="100" w:line="276" w:lineRule="auto"/>
      <w:ind w:left="440"/>
    </w:pPr>
    <w:rPr>
      <w:szCs w:val="22"/>
    </w:rPr>
  </w:style>
  <w:style w:type="character" w:customStyle="1" w:styleId="PieddepageCar">
    <w:name w:val="Pied de page Car"/>
    <w:link w:val="Pieddepage"/>
    <w:uiPriority w:val="99"/>
    <w:rsid w:val="006E6C14"/>
    <w:rPr>
      <w:rFonts w:ascii="Calibri" w:hAnsi="Calibri"/>
      <w:sz w:val="22"/>
    </w:rPr>
  </w:style>
  <w:style w:type="paragraph" w:styleId="Notedebasdepage">
    <w:name w:val="footnote text"/>
    <w:basedOn w:val="Normal"/>
    <w:link w:val="NotedebasdepageCar"/>
    <w:rsid w:val="006B3503"/>
    <w:rPr>
      <w:sz w:val="20"/>
    </w:rPr>
  </w:style>
  <w:style w:type="character" w:customStyle="1" w:styleId="NotedebasdepageCar">
    <w:name w:val="Note de bas de page Car"/>
    <w:link w:val="Notedebasdepage"/>
    <w:rsid w:val="006B3503"/>
    <w:rPr>
      <w:rFonts w:ascii="Calibri" w:hAnsi="Calibri"/>
    </w:rPr>
  </w:style>
  <w:style w:type="character" w:styleId="Appelnotedebasdep">
    <w:name w:val="footnote reference"/>
    <w:rsid w:val="006B3503"/>
    <w:rPr>
      <w:vertAlign w:val="superscript"/>
    </w:rPr>
  </w:style>
  <w:style w:type="paragraph" w:styleId="Paragraphedeliste">
    <w:name w:val="List Paragraph"/>
    <w:basedOn w:val="Normal"/>
    <w:uiPriority w:val="34"/>
    <w:qFormat/>
    <w:rsid w:val="00C25D53"/>
    <w:pPr>
      <w:ind w:left="720"/>
      <w:contextualSpacing/>
    </w:pPr>
  </w:style>
  <w:style w:type="character" w:styleId="Accentuation">
    <w:name w:val="Emphasis"/>
    <w:basedOn w:val="Policepardfaut"/>
    <w:qFormat/>
    <w:rsid w:val="00016E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7858">
      <w:bodyDiv w:val="1"/>
      <w:marLeft w:val="0"/>
      <w:marRight w:val="0"/>
      <w:marTop w:val="0"/>
      <w:marBottom w:val="0"/>
      <w:divBdr>
        <w:top w:val="none" w:sz="0" w:space="0" w:color="auto"/>
        <w:left w:val="none" w:sz="0" w:space="0" w:color="auto"/>
        <w:bottom w:val="none" w:sz="0" w:space="0" w:color="auto"/>
        <w:right w:val="none" w:sz="0" w:space="0" w:color="auto"/>
      </w:divBdr>
    </w:div>
    <w:div w:id="234434689">
      <w:bodyDiv w:val="1"/>
      <w:marLeft w:val="0"/>
      <w:marRight w:val="0"/>
      <w:marTop w:val="0"/>
      <w:marBottom w:val="0"/>
      <w:divBdr>
        <w:top w:val="none" w:sz="0" w:space="0" w:color="auto"/>
        <w:left w:val="none" w:sz="0" w:space="0" w:color="auto"/>
        <w:bottom w:val="none" w:sz="0" w:space="0" w:color="auto"/>
        <w:right w:val="none" w:sz="0" w:space="0" w:color="auto"/>
      </w:divBdr>
    </w:div>
    <w:div w:id="347677730">
      <w:bodyDiv w:val="1"/>
      <w:marLeft w:val="0"/>
      <w:marRight w:val="0"/>
      <w:marTop w:val="0"/>
      <w:marBottom w:val="0"/>
      <w:divBdr>
        <w:top w:val="none" w:sz="0" w:space="0" w:color="auto"/>
        <w:left w:val="none" w:sz="0" w:space="0" w:color="auto"/>
        <w:bottom w:val="none" w:sz="0" w:space="0" w:color="auto"/>
        <w:right w:val="none" w:sz="0" w:space="0" w:color="auto"/>
      </w:divBdr>
    </w:div>
    <w:div w:id="576132600">
      <w:bodyDiv w:val="1"/>
      <w:marLeft w:val="0"/>
      <w:marRight w:val="0"/>
      <w:marTop w:val="0"/>
      <w:marBottom w:val="0"/>
      <w:divBdr>
        <w:top w:val="none" w:sz="0" w:space="0" w:color="auto"/>
        <w:left w:val="none" w:sz="0" w:space="0" w:color="auto"/>
        <w:bottom w:val="none" w:sz="0" w:space="0" w:color="auto"/>
        <w:right w:val="none" w:sz="0" w:space="0" w:color="auto"/>
      </w:divBdr>
    </w:div>
    <w:div w:id="603541959">
      <w:bodyDiv w:val="1"/>
      <w:marLeft w:val="0"/>
      <w:marRight w:val="0"/>
      <w:marTop w:val="0"/>
      <w:marBottom w:val="0"/>
      <w:divBdr>
        <w:top w:val="none" w:sz="0" w:space="0" w:color="auto"/>
        <w:left w:val="none" w:sz="0" w:space="0" w:color="auto"/>
        <w:bottom w:val="none" w:sz="0" w:space="0" w:color="auto"/>
        <w:right w:val="none" w:sz="0" w:space="0" w:color="auto"/>
      </w:divBdr>
    </w:div>
    <w:div w:id="625817433">
      <w:bodyDiv w:val="1"/>
      <w:marLeft w:val="0"/>
      <w:marRight w:val="0"/>
      <w:marTop w:val="0"/>
      <w:marBottom w:val="0"/>
      <w:divBdr>
        <w:top w:val="none" w:sz="0" w:space="0" w:color="auto"/>
        <w:left w:val="none" w:sz="0" w:space="0" w:color="auto"/>
        <w:bottom w:val="none" w:sz="0" w:space="0" w:color="auto"/>
        <w:right w:val="none" w:sz="0" w:space="0" w:color="auto"/>
      </w:divBdr>
    </w:div>
    <w:div w:id="691959010">
      <w:bodyDiv w:val="1"/>
      <w:marLeft w:val="0"/>
      <w:marRight w:val="0"/>
      <w:marTop w:val="0"/>
      <w:marBottom w:val="0"/>
      <w:divBdr>
        <w:top w:val="none" w:sz="0" w:space="0" w:color="auto"/>
        <w:left w:val="none" w:sz="0" w:space="0" w:color="auto"/>
        <w:bottom w:val="none" w:sz="0" w:space="0" w:color="auto"/>
        <w:right w:val="none" w:sz="0" w:space="0" w:color="auto"/>
      </w:divBdr>
    </w:div>
    <w:div w:id="714621587">
      <w:bodyDiv w:val="1"/>
      <w:marLeft w:val="0"/>
      <w:marRight w:val="0"/>
      <w:marTop w:val="0"/>
      <w:marBottom w:val="0"/>
      <w:divBdr>
        <w:top w:val="none" w:sz="0" w:space="0" w:color="auto"/>
        <w:left w:val="none" w:sz="0" w:space="0" w:color="auto"/>
        <w:bottom w:val="none" w:sz="0" w:space="0" w:color="auto"/>
        <w:right w:val="none" w:sz="0" w:space="0" w:color="auto"/>
      </w:divBdr>
    </w:div>
    <w:div w:id="810558016">
      <w:bodyDiv w:val="1"/>
      <w:marLeft w:val="0"/>
      <w:marRight w:val="0"/>
      <w:marTop w:val="0"/>
      <w:marBottom w:val="0"/>
      <w:divBdr>
        <w:top w:val="none" w:sz="0" w:space="0" w:color="auto"/>
        <w:left w:val="none" w:sz="0" w:space="0" w:color="auto"/>
        <w:bottom w:val="none" w:sz="0" w:space="0" w:color="auto"/>
        <w:right w:val="none" w:sz="0" w:space="0" w:color="auto"/>
      </w:divBdr>
    </w:div>
    <w:div w:id="912467243">
      <w:bodyDiv w:val="1"/>
      <w:marLeft w:val="0"/>
      <w:marRight w:val="0"/>
      <w:marTop w:val="0"/>
      <w:marBottom w:val="0"/>
      <w:divBdr>
        <w:top w:val="none" w:sz="0" w:space="0" w:color="auto"/>
        <w:left w:val="none" w:sz="0" w:space="0" w:color="auto"/>
        <w:bottom w:val="none" w:sz="0" w:space="0" w:color="auto"/>
        <w:right w:val="none" w:sz="0" w:space="0" w:color="auto"/>
      </w:divBdr>
    </w:div>
    <w:div w:id="929048196">
      <w:bodyDiv w:val="1"/>
      <w:marLeft w:val="0"/>
      <w:marRight w:val="0"/>
      <w:marTop w:val="0"/>
      <w:marBottom w:val="0"/>
      <w:divBdr>
        <w:top w:val="none" w:sz="0" w:space="0" w:color="auto"/>
        <w:left w:val="none" w:sz="0" w:space="0" w:color="auto"/>
        <w:bottom w:val="none" w:sz="0" w:space="0" w:color="auto"/>
        <w:right w:val="none" w:sz="0" w:space="0" w:color="auto"/>
      </w:divBdr>
    </w:div>
    <w:div w:id="1048917603">
      <w:bodyDiv w:val="1"/>
      <w:marLeft w:val="0"/>
      <w:marRight w:val="0"/>
      <w:marTop w:val="0"/>
      <w:marBottom w:val="0"/>
      <w:divBdr>
        <w:top w:val="none" w:sz="0" w:space="0" w:color="auto"/>
        <w:left w:val="none" w:sz="0" w:space="0" w:color="auto"/>
        <w:bottom w:val="none" w:sz="0" w:space="0" w:color="auto"/>
        <w:right w:val="none" w:sz="0" w:space="0" w:color="auto"/>
      </w:divBdr>
      <w:divsChild>
        <w:div w:id="1509638273">
          <w:marLeft w:val="0"/>
          <w:marRight w:val="0"/>
          <w:marTop w:val="0"/>
          <w:marBottom w:val="0"/>
          <w:divBdr>
            <w:top w:val="none" w:sz="0" w:space="0" w:color="auto"/>
            <w:left w:val="none" w:sz="0" w:space="0" w:color="auto"/>
            <w:bottom w:val="none" w:sz="0" w:space="0" w:color="auto"/>
            <w:right w:val="none" w:sz="0" w:space="0" w:color="auto"/>
          </w:divBdr>
          <w:divsChild>
            <w:div w:id="1462919954">
              <w:marLeft w:val="0"/>
              <w:marRight w:val="0"/>
              <w:marTop w:val="0"/>
              <w:marBottom w:val="0"/>
              <w:divBdr>
                <w:top w:val="none" w:sz="0" w:space="0" w:color="auto"/>
                <w:left w:val="none" w:sz="0" w:space="0" w:color="auto"/>
                <w:bottom w:val="none" w:sz="0" w:space="0" w:color="auto"/>
                <w:right w:val="none" w:sz="0" w:space="0" w:color="auto"/>
              </w:divBdr>
              <w:divsChild>
                <w:div w:id="66806433">
                  <w:marLeft w:val="440"/>
                  <w:marRight w:val="0"/>
                  <w:marTop w:val="0"/>
                  <w:marBottom w:val="0"/>
                  <w:divBdr>
                    <w:top w:val="none" w:sz="0" w:space="0" w:color="auto"/>
                    <w:left w:val="none" w:sz="0" w:space="0" w:color="auto"/>
                    <w:bottom w:val="none" w:sz="0" w:space="0" w:color="auto"/>
                    <w:right w:val="none" w:sz="0" w:space="0" w:color="auto"/>
                  </w:divBdr>
                  <w:divsChild>
                    <w:div w:id="947085265">
                      <w:marLeft w:val="0"/>
                      <w:marRight w:val="0"/>
                      <w:marTop w:val="0"/>
                      <w:marBottom w:val="0"/>
                      <w:divBdr>
                        <w:top w:val="none" w:sz="0" w:space="0" w:color="auto"/>
                        <w:left w:val="none" w:sz="0" w:space="0" w:color="auto"/>
                        <w:bottom w:val="none" w:sz="0" w:space="0" w:color="auto"/>
                        <w:right w:val="none" w:sz="0" w:space="0" w:color="auto"/>
                      </w:divBdr>
                      <w:divsChild>
                        <w:div w:id="336546392">
                          <w:marLeft w:val="0"/>
                          <w:marRight w:val="0"/>
                          <w:marTop w:val="0"/>
                          <w:marBottom w:val="0"/>
                          <w:divBdr>
                            <w:top w:val="none" w:sz="0" w:space="0" w:color="auto"/>
                            <w:left w:val="none" w:sz="0" w:space="0" w:color="auto"/>
                            <w:bottom w:val="none" w:sz="0" w:space="0" w:color="auto"/>
                            <w:right w:val="none" w:sz="0" w:space="0" w:color="auto"/>
                          </w:divBdr>
                          <w:divsChild>
                            <w:div w:id="1304584226">
                              <w:marLeft w:val="0"/>
                              <w:marRight w:val="0"/>
                              <w:marTop w:val="0"/>
                              <w:marBottom w:val="0"/>
                              <w:divBdr>
                                <w:top w:val="none" w:sz="0" w:space="0" w:color="auto"/>
                                <w:left w:val="none" w:sz="0" w:space="0" w:color="auto"/>
                                <w:bottom w:val="none" w:sz="0" w:space="0" w:color="auto"/>
                                <w:right w:val="none" w:sz="0" w:space="0" w:color="auto"/>
                              </w:divBdr>
                              <w:divsChild>
                                <w:div w:id="126566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271759">
      <w:bodyDiv w:val="1"/>
      <w:marLeft w:val="0"/>
      <w:marRight w:val="0"/>
      <w:marTop w:val="0"/>
      <w:marBottom w:val="0"/>
      <w:divBdr>
        <w:top w:val="none" w:sz="0" w:space="0" w:color="auto"/>
        <w:left w:val="none" w:sz="0" w:space="0" w:color="auto"/>
        <w:bottom w:val="none" w:sz="0" w:space="0" w:color="auto"/>
        <w:right w:val="none" w:sz="0" w:space="0" w:color="auto"/>
      </w:divBdr>
    </w:div>
    <w:div w:id="1380351456">
      <w:bodyDiv w:val="1"/>
      <w:marLeft w:val="0"/>
      <w:marRight w:val="0"/>
      <w:marTop w:val="0"/>
      <w:marBottom w:val="0"/>
      <w:divBdr>
        <w:top w:val="none" w:sz="0" w:space="0" w:color="auto"/>
        <w:left w:val="none" w:sz="0" w:space="0" w:color="auto"/>
        <w:bottom w:val="none" w:sz="0" w:space="0" w:color="auto"/>
        <w:right w:val="none" w:sz="0" w:space="0" w:color="auto"/>
      </w:divBdr>
    </w:div>
    <w:div w:id="1418861452">
      <w:bodyDiv w:val="1"/>
      <w:marLeft w:val="0"/>
      <w:marRight w:val="0"/>
      <w:marTop w:val="0"/>
      <w:marBottom w:val="0"/>
      <w:divBdr>
        <w:top w:val="none" w:sz="0" w:space="0" w:color="auto"/>
        <w:left w:val="none" w:sz="0" w:space="0" w:color="auto"/>
        <w:bottom w:val="none" w:sz="0" w:space="0" w:color="auto"/>
        <w:right w:val="none" w:sz="0" w:space="0" w:color="auto"/>
      </w:divBdr>
    </w:div>
    <w:div w:id="1660697631">
      <w:bodyDiv w:val="1"/>
      <w:marLeft w:val="0"/>
      <w:marRight w:val="0"/>
      <w:marTop w:val="0"/>
      <w:marBottom w:val="0"/>
      <w:divBdr>
        <w:top w:val="none" w:sz="0" w:space="0" w:color="auto"/>
        <w:left w:val="none" w:sz="0" w:space="0" w:color="auto"/>
        <w:bottom w:val="none" w:sz="0" w:space="0" w:color="auto"/>
        <w:right w:val="none" w:sz="0" w:space="0" w:color="auto"/>
      </w:divBdr>
    </w:div>
    <w:div w:id="1875120240">
      <w:bodyDiv w:val="1"/>
      <w:marLeft w:val="0"/>
      <w:marRight w:val="0"/>
      <w:marTop w:val="0"/>
      <w:marBottom w:val="0"/>
      <w:divBdr>
        <w:top w:val="none" w:sz="0" w:space="0" w:color="auto"/>
        <w:left w:val="none" w:sz="0" w:space="0" w:color="auto"/>
        <w:bottom w:val="none" w:sz="0" w:space="0" w:color="auto"/>
        <w:right w:val="none" w:sz="0" w:space="0" w:color="auto"/>
      </w:divBdr>
    </w:div>
    <w:div w:id="1889217795">
      <w:bodyDiv w:val="1"/>
      <w:marLeft w:val="0"/>
      <w:marRight w:val="0"/>
      <w:marTop w:val="0"/>
      <w:marBottom w:val="0"/>
      <w:divBdr>
        <w:top w:val="none" w:sz="0" w:space="0" w:color="auto"/>
        <w:left w:val="none" w:sz="0" w:space="0" w:color="auto"/>
        <w:bottom w:val="none" w:sz="0" w:space="0" w:color="auto"/>
        <w:right w:val="none" w:sz="0" w:space="0" w:color="auto"/>
      </w:divBdr>
    </w:div>
    <w:div w:id="1899169351">
      <w:bodyDiv w:val="1"/>
      <w:marLeft w:val="0"/>
      <w:marRight w:val="0"/>
      <w:marTop w:val="0"/>
      <w:marBottom w:val="0"/>
      <w:divBdr>
        <w:top w:val="none" w:sz="0" w:space="0" w:color="auto"/>
        <w:left w:val="none" w:sz="0" w:space="0" w:color="auto"/>
        <w:bottom w:val="none" w:sz="0" w:space="0" w:color="auto"/>
        <w:right w:val="none" w:sz="0" w:space="0" w:color="auto"/>
      </w:divBdr>
    </w:div>
    <w:div w:id="1904441473">
      <w:bodyDiv w:val="1"/>
      <w:marLeft w:val="0"/>
      <w:marRight w:val="0"/>
      <w:marTop w:val="0"/>
      <w:marBottom w:val="0"/>
      <w:divBdr>
        <w:top w:val="none" w:sz="0" w:space="0" w:color="auto"/>
        <w:left w:val="none" w:sz="0" w:space="0" w:color="auto"/>
        <w:bottom w:val="none" w:sz="0" w:space="0" w:color="auto"/>
        <w:right w:val="none" w:sz="0" w:space="0" w:color="auto"/>
      </w:divBdr>
    </w:div>
    <w:div w:id="2066903619">
      <w:bodyDiv w:val="1"/>
      <w:marLeft w:val="0"/>
      <w:marRight w:val="0"/>
      <w:marTop w:val="0"/>
      <w:marBottom w:val="0"/>
      <w:divBdr>
        <w:top w:val="none" w:sz="0" w:space="0" w:color="auto"/>
        <w:left w:val="none" w:sz="0" w:space="0" w:color="auto"/>
        <w:bottom w:val="none" w:sz="0" w:space="0" w:color="auto"/>
        <w:right w:val="none" w:sz="0" w:space="0" w:color="auto"/>
      </w:divBdr>
    </w:div>
    <w:div w:id="2108769937">
      <w:bodyDiv w:val="1"/>
      <w:marLeft w:val="0"/>
      <w:marRight w:val="0"/>
      <w:marTop w:val="0"/>
      <w:marBottom w:val="0"/>
      <w:divBdr>
        <w:top w:val="none" w:sz="0" w:space="0" w:color="auto"/>
        <w:left w:val="none" w:sz="0" w:space="0" w:color="auto"/>
        <w:bottom w:val="none" w:sz="0" w:space="0" w:color="auto"/>
        <w:right w:val="none" w:sz="0" w:space="0" w:color="auto"/>
      </w:divBdr>
      <w:divsChild>
        <w:div w:id="1520192911">
          <w:marLeft w:val="0"/>
          <w:marRight w:val="0"/>
          <w:marTop w:val="0"/>
          <w:marBottom w:val="0"/>
          <w:divBdr>
            <w:top w:val="none" w:sz="0" w:space="0" w:color="auto"/>
            <w:left w:val="none" w:sz="0" w:space="0" w:color="auto"/>
            <w:bottom w:val="none" w:sz="0" w:space="0" w:color="auto"/>
            <w:right w:val="none" w:sz="0" w:space="0" w:color="auto"/>
          </w:divBdr>
          <w:divsChild>
            <w:div w:id="23407628">
              <w:marLeft w:val="0"/>
              <w:marRight w:val="0"/>
              <w:marTop w:val="0"/>
              <w:marBottom w:val="0"/>
              <w:divBdr>
                <w:top w:val="none" w:sz="0" w:space="0" w:color="auto"/>
                <w:left w:val="none" w:sz="0" w:space="0" w:color="auto"/>
                <w:bottom w:val="none" w:sz="0" w:space="0" w:color="auto"/>
                <w:right w:val="none" w:sz="0" w:space="0" w:color="auto"/>
              </w:divBdr>
            </w:div>
            <w:div w:id="207692026">
              <w:marLeft w:val="0"/>
              <w:marRight w:val="0"/>
              <w:marTop w:val="0"/>
              <w:marBottom w:val="0"/>
              <w:divBdr>
                <w:top w:val="none" w:sz="0" w:space="0" w:color="auto"/>
                <w:left w:val="none" w:sz="0" w:space="0" w:color="auto"/>
                <w:bottom w:val="none" w:sz="0" w:space="0" w:color="auto"/>
                <w:right w:val="none" w:sz="0" w:space="0" w:color="auto"/>
              </w:divBdr>
            </w:div>
            <w:div w:id="401875420">
              <w:marLeft w:val="0"/>
              <w:marRight w:val="0"/>
              <w:marTop w:val="0"/>
              <w:marBottom w:val="0"/>
              <w:divBdr>
                <w:top w:val="none" w:sz="0" w:space="0" w:color="auto"/>
                <w:left w:val="none" w:sz="0" w:space="0" w:color="auto"/>
                <w:bottom w:val="none" w:sz="0" w:space="0" w:color="auto"/>
                <w:right w:val="none" w:sz="0" w:space="0" w:color="auto"/>
              </w:divBdr>
            </w:div>
            <w:div w:id="552229460">
              <w:marLeft w:val="0"/>
              <w:marRight w:val="0"/>
              <w:marTop w:val="0"/>
              <w:marBottom w:val="0"/>
              <w:divBdr>
                <w:top w:val="none" w:sz="0" w:space="0" w:color="auto"/>
                <w:left w:val="none" w:sz="0" w:space="0" w:color="auto"/>
                <w:bottom w:val="none" w:sz="0" w:space="0" w:color="auto"/>
                <w:right w:val="none" w:sz="0" w:space="0" w:color="auto"/>
              </w:divBdr>
            </w:div>
            <w:div w:id="816995084">
              <w:marLeft w:val="0"/>
              <w:marRight w:val="0"/>
              <w:marTop w:val="0"/>
              <w:marBottom w:val="0"/>
              <w:divBdr>
                <w:top w:val="none" w:sz="0" w:space="0" w:color="auto"/>
                <w:left w:val="none" w:sz="0" w:space="0" w:color="auto"/>
                <w:bottom w:val="none" w:sz="0" w:space="0" w:color="auto"/>
                <w:right w:val="none" w:sz="0" w:space="0" w:color="auto"/>
              </w:divBdr>
            </w:div>
            <w:div w:id="856968414">
              <w:marLeft w:val="0"/>
              <w:marRight w:val="0"/>
              <w:marTop w:val="0"/>
              <w:marBottom w:val="0"/>
              <w:divBdr>
                <w:top w:val="none" w:sz="0" w:space="0" w:color="auto"/>
                <w:left w:val="none" w:sz="0" w:space="0" w:color="auto"/>
                <w:bottom w:val="none" w:sz="0" w:space="0" w:color="auto"/>
                <w:right w:val="none" w:sz="0" w:space="0" w:color="auto"/>
              </w:divBdr>
            </w:div>
            <w:div w:id="1030646285">
              <w:marLeft w:val="0"/>
              <w:marRight w:val="0"/>
              <w:marTop w:val="0"/>
              <w:marBottom w:val="0"/>
              <w:divBdr>
                <w:top w:val="none" w:sz="0" w:space="0" w:color="auto"/>
                <w:left w:val="none" w:sz="0" w:space="0" w:color="auto"/>
                <w:bottom w:val="none" w:sz="0" w:space="0" w:color="auto"/>
                <w:right w:val="none" w:sz="0" w:space="0" w:color="auto"/>
              </w:divBdr>
            </w:div>
            <w:div w:id="1448967694">
              <w:marLeft w:val="0"/>
              <w:marRight w:val="0"/>
              <w:marTop w:val="0"/>
              <w:marBottom w:val="0"/>
              <w:divBdr>
                <w:top w:val="none" w:sz="0" w:space="0" w:color="auto"/>
                <w:left w:val="none" w:sz="0" w:space="0" w:color="auto"/>
                <w:bottom w:val="none" w:sz="0" w:space="0" w:color="auto"/>
                <w:right w:val="none" w:sz="0" w:space="0" w:color="auto"/>
              </w:divBdr>
            </w:div>
            <w:div w:id="1787037417">
              <w:marLeft w:val="0"/>
              <w:marRight w:val="0"/>
              <w:marTop w:val="0"/>
              <w:marBottom w:val="0"/>
              <w:divBdr>
                <w:top w:val="none" w:sz="0" w:space="0" w:color="auto"/>
                <w:left w:val="none" w:sz="0" w:space="0" w:color="auto"/>
                <w:bottom w:val="none" w:sz="0" w:space="0" w:color="auto"/>
                <w:right w:val="none" w:sz="0" w:space="0" w:color="auto"/>
              </w:divBdr>
            </w:div>
            <w:div w:id="2065907235">
              <w:marLeft w:val="0"/>
              <w:marRight w:val="0"/>
              <w:marTop w:val="0"/>
              <w:marBottom w:val="0"/>
              <w:divBdr>
                <w:top w:val="none" w:sz="0" w:space="0" w:color="auto"/>
                <w:left w:val="none" w:sz="0" w:space="0" w:color="auto"/>
                <w:bottom w:val="none" w:sz="0" w:space="0" w:color="auto"/>
                <w:right w:val="none" w:sz="0" w:space="0" w:color="auto"/>
              </w:divBdr>
            </w:div>
            <w:div w:id="21233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package" Target="embeddings/Feuille_de_calcul_Microsoft_Excel1.xlsx"/><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Feuille_de_calcul_Microsoft_Excel3.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Feuille_de_calcul_Microsoft_Excel2.xlsx"/><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6999F-D8B5-458D-8215-178C0504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8752</TotalTime>
  <Pages>15</Pages>
  <Words>4115</Words>
  <Characters>25005</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PRESENTATION DETAILLEE</vt:lpstr>
    </vt:vector>
  </TitlesOfParts>
  <Company>MAIRIE DE MONT SAINT AIGNAN</Company>
  <LinksUpToDate>false</LinksUpToDate>
  <CharactersWithSpaces>29062</CharactersWithSpaces>
  <SharedDoc>false</SharedDoc>
  <HLinks>
    <vt:vector size="234" baseType="variant">
      <vt:variant>
        <vt:i4>1048638</vt:i4>
      </vt:variant>
      <vt:variant>
        <vt:i4>230</vt:i4>
      </vt:variant>
      <vt:variant>
        <vt:i4>0</vt:i4>
      </vt:variant>
      <vt:variant>
        <vt:i4>5</vt:i4>
      </vt:variant>
      <vt:variant>
        <vt:lpwstr/>
      </vt:variant>
      <vt:variant>
        <vt:lpwstr>_Toc129177133</vt:lpwstr>
      </vt:variant>
      <vt:variant>
        <vt:i4>1048638</vt:i4>
      </vt:variant>
      <vt:variant>
        <vt:i4>224</vt:i4>
      </vt:variant>
      <vt:variant>
        <vt:i4>0</vt:i4>
      </vt:variant>
      <vt:variant>
        <vt:i4>5</vt:i4>
      </vt:variant>
      <vt:variant>
        <vt:lpwstr/>
      </vt:variant>
      <vt:variant>
        <vt:lpwstr>_Toc129177132</vt:lpwstr>
      </vt:variant>
      <vt:variant>
        <vt:i4>1048638</vt:i4>
      </vt:variant>
      <vt:variant>
        <vt:i4>218</vt:i4>
      </vt:variant>
      <vt:variant>
        <vt:i4>0</vt:i4>
      </vt:variant>
      <vt:variant>
        <vt:i4>5</vt:i4>
      </vt:variant>
      <vt:variant>
        <vt:lpwstr/>
      </vt:variant>
      <vt:variant>
        <vt:lpwstr>_Toc129177131</vt:lpwstr>
      </vt:variant>
      <vt:variant>
        <vt:i4>1048638</vt:i4>
      </vt:variant>
      <vt:variant>
        <vt:i4>212</vt:i4>
      </vt:variant>
      <vt:variant>
        <vt:i4>0</vt:i4>
      </vt:variant>
      <vt:variant>
        <vt:i4>5</vt:i4>
      </vt:variant>
      <vt:variant>
        <vt:lpwstr/>
      </vt:variant>
      <vt:variant>
        <vt:lpwstr>_Toc129177130</vt:lpwstr>
      </vt:variant>
      <vt:variant>
        <vt:i4>1114174</vt:i4>
      </vt:variant>
      <vt:variant>
        <vt:i4>206</vt:i4>
      </vt:variant>
      <vt:variant>
        <vt:i4>0</vt:i4>
      </vt:variant>
      <vt:variant>
        <vt:i4>5</vt:i4>
      </vt:variant>
      <vt:variant>
        <vt:lpwstr/>
      </vt:variant>
      <vt:variant>
        <vt:lpwstr>_Toc129177129</vt:lpwstr>
      </vt:variant>
      <vt:variant>
        <vt:i4>1114174</vt:i4>
      </vt:variant>
      <vt:variant>
        <vt:i4>200</vt:i4>
      </vt:variant>
      <vt:variant>
        <vt:i4>0</vt:i4>
      </vt:variant>
      <vt:variant>
        <vt:i4>5</vt:i4>
      </vt:variant>
      <vt:variant>
        <vt:lpwstr/>
      </vt:variant>
      <vt:variant>
        <vt:lpwstr>_Toc129177128</vt:lpwstr>
      </vt:variant>
      <vt:variant>
        <vt:i4>1114174</vt:i4>
      </vt:variant>
      <vt:variant>
        <vt:i4>194</vt:i4>
      </vt:variant>
      <vt:variant>
        <vt:i4>0</vt:i4>
      </vt:variant>
      <vt:variant>
        <vt:i4>5</vt:i4>
      </vt:variant>
      <vt:variant>
        <vt:lpwstr/>
      </vt:variant>
      <vt:variant>
        <vt:lpwstr>_Toc129177127</vt:lpwstr>
      </vt:variant>
      <vt:variant>
        <vt:i4>1114174</vt:i4>
      </vt:variant>
      <vt:variant>
        <vt:i4>188</vt:i4>
      </vt:variant>
      <vt:variant>
        <vt:i4>0</vt:i4>
      </vt:variant>
      <vt:variant>
        <vt:i4>5</vt:i4>
      </vt:variant>
      <vt:variant>
        <vt:lpwstr/>
      </vt:variant>
      <vt:variant>
        <vt:lpwstr>_Toc129177126</vt:lpwstr>
      </vt:variant>
      <vt:variant>
        <vt:i4>1114174</vt:i4>
      </vt:variant>
      <vt:variant>
        <vt:i4>182</vt:i4>
      </vt:variant>
      <vt:variant>
        <vt:i4>0</vt:i4>
      </vt:variant>
      <vt:variant>
        <vt:i4>5</vt:i4>
      </vt:variant>
      <vt:variant>
        <vt:lpwstr/>
      </vt:variant>
      <vt:variant>
        <vt:lpwstr>_Toc129177125</vt:lpwstr>
      </vt:variant>
      <vt:variant>
        <vt:i4>1114174</vt:i4>
      </vt:variant>
      <vt:variant>
        <vt:i4>176</vt:i4>
      </vt:variant>
      <vt:variant>
        <vt:i4>0</vt:i4>
      </vt:variant>
      <vt:variant>
        <vt:i4>5</vt:i4>
      </vt:variant>
      <vt:variant>
        <vt:lpwstr/>
      </vt:variant>
      <vt:variant>
        <vt:lpwstr>_Toc129177124</vt:lpwstr>
      </vt:variant>
      <vt:variant>
        <vt:i4>1114174</vt:i4>
      </vt:variant>
      <vt:variant>
        <vt:i4>170</vt:i4>
      </vt:variant>
      <vt:variant>
        <vt:i4>0</vt:i4>
      </vt:variant>
      <vt:variant>
        <vt:i4>5</vt:i4>
      </vt:variant>
      <vt:variant>
        <vt:lpwstr/>
      </vt:variant>
      <vt:variant>
        <vt:lpwstr>_Toc129177123</vt:lpwstr>
      </vt:variant>
      <vt:variant>
        <vt:i4>1114174</vt:i4>
      </vt:variant>
      <vt:variant>
        <vt:i4>164</vt:i4>
      </vt:variant>
      <vt:variant>
        <vt:i4>0</vt:i4>
      </vt:variant>
      <vt:variant>
        <vt:i4>5</vt:i4>
      </vt:variant>
      <vt:variant>
        <vt:lpwstr/>
      </vt:variant>
      <vt:variant>
        <vt:lpwstr>_Toc129177122</vt:lpwstr>
      </vt:variant>
      <vt:variant>
        <vt:i4>1114174</vt:i4>
      </vt:variant>
      <vt:variant>
        <vt:i4>158</vt:i4>
      </vt:variant>
      <vt:variant>
        <vt:i4>0</vt:i4>
      </vt:variant>
      <vt:variant>
        <vt:i4>5</vt:i4>
      </vt:variant>
      <vt:variant>
        <vt:lpwstr/>
      </vt:variant>
      <vt:variant>
        <vt:lpwstr>_Toc129177121</vt:lpwstr>
      </vt:variant>
      <vt:variant>
        <vt:i4>1114174</vt:i4>
      </vt:variant>
      <vt:variant>
        <vt:i4>152</vt:i4>
      </vt:variant>
      <vt:variant>
        <vt:i4>0</vt:i4>
      </vt:variant>
      <vt:variant>
        <vt:i4>5</vt:i4>
      </vt:variant>
      <vt:variant>
        <vt:lpwstr/>
      </vt:variant>
      <vt:variant>
        <vt:lpwstr>_Toc129177120</vt:lpwstr>
      </vt:variant>
      <vt:variant>
        <vt:i4>1179710</vt:i4>
      </vt:variant>
      <vt:variant>
        <vt:i4>146</vt:i4>
      </vt:variant>
      <vt:variant>
        <vt:i4>0</vt:i4>
      </vt:variant>
      <vt:variant>
        <vt:i4>5</vt:i4>
      </vt:variant>
      <vt:variant>
        <vt:lpwstr/>
      </vt:variant>
      <vt:variant>
        <vt:lpwstr>_Toc129177119</vt:lpwstr>
      </vt:variant>
      <vt:variant>
        <vt:i4>1179710</vt:i4>
      </vt:variant>
      <vt:variant>
        <vt:i4>140</vt:i4>
      </vt:variant>
      <vt:variant>
        <vt:i4>0</vt:i4>
      </vt:variant>
      <vt:variant>
        <vt:i4>5</vt:i4>
      </vt:variant>
      <vt:variant>
        <vt:lpwstr/>
      </vt:variant>
      <vt:variant>
        <vt:lpwstr>_Toc129177118</vt:lpwstr>
      </vt:variant>
      <vt:variant>
        <vt:i4>1179710</vt:i4>
      </vt:variant>
      <vt:variant>
        <vt:i4>134</vt:i4>
      </vt:variant>
      <vt:variant>
        <vt:i4>0</vt:i4>
      </vt:variant>
      <vt:variant>
        <vt:i4>5</vt:i4>
      </vt:variant>
      <vt:variant>
        <vt:lpwstr/>
      </vt:variant>
      <vt:variant>
        <vt:lpwstr>_Toc129177117</vt:lpwstr>
      </vt:variant>
      <vt:variant>
        <vt:i4>1179710</vt:i4>
      </vt:variant>
      <vt:variant>
        <vt:i4>128</vt:i4>
      </vt:variant>
      <vt:variant>
        <vt:i4>0</vt:i4>
      </vt:variant>
      <vt:variant>
        <vt:i4>5</vt:i4>
      </vt:variant>
      <vt:variant>
        <vt:lpwstr/>
      </vt:variant>
      <vt:variant>
        <vt:lpwstr>_Toc129177116</vt:lpwstr>
      </vt:variant>
      <vt:variant>
        <vt:i4>1179710</vt:i4>
      </vt:variant>
      <vt:variant>
        <vt:i4>122</vt:i4>
      </vt:variant>
      <vt:variant>
        <vt:i4>0</vt:i4>
      </vt:variant>
      <vt:variant>
        <vt:i4>5</vt:i4>
      </vt:variant>
      <vt:variant>
        <vt:lpwstr/>
      </vt:variant>
      <vt:variant>
        <vt:lpwstr>_Toc129177115</vt:lpwstr>
      </vt:variant>
      <vt:variant>
        <vt:i4>1179710</vt:i4>
      </vt:variant>
      <vt:variant>
        <vt:i4>116</vt:i4>
      </vt:variant>
      <vt:variant>
        <vt:i4>0</vt:i4>
      </vt:variant>
      <vt:variant>
        <vt:i4>5</vt:i4>
      </vt:variant>
      <vt:variant>
        <vt:lpwstr/>
      </vt:variant>
      <vt:variant>
        <vt:lpwstr>_Toc129177114</vt:lpwstr>
      </vt:variant>
      <vt:variant>
        <vt:i4>1179710</vt:i4>
      </vt:variant>
      <vt:variant>
        <vt:i4>110</vt:i4>
      </vt:variant>
      <vt:variant>
        <vt:i4>0</vt:i4>
      </vt:variant>
      <vt:variant>
        <vt:i4>5</vt:i4>
      </vt:variant>
      <vt:variant>
        <vt:lpwstr/>
      </vt:variant>
      <vt:variant>
        <vt:lpwstr>_Toc129177113</vt:lpwstr>
      </vt:variant>
      <vt:variant>
        <vt:i4>1179710</vt:i4>
      </vt:variant>
      <vt:variant>
        <vt:i4>104</vt:i4>
      </vt:variant>
      <vt:variant>
        <vt:i4>0</vt:i4>
      </vt:variant>
      <vt:variant>
        <vt:i4>5</vt:i4>
      </vt:variant>
      <vt:variant>
        <vt:lpwstr/>
      </vt:variant>
      <vt:variant>
        <vt:lpwstr>_Toc129177112</vt:lpwstr>
      </vt:variant>
      <vt:variant>
        <vt:i4>1179710</vt:i4>
      </vt:variant>
      <vt:variant>
        <vt:i4>98</vt:i4>
      </vt:variant>
      <vt:variant>
        <vt:i4>0</vt:i4>
      </vt:variant>
      <vt:variant>
        <vt:i4>5</vt:i4>
      </vt:variant>
      <vt:variant>
        <vt:lpwstr/>
      </vt:variant>
      <vt:variant>
        <vt:lpwstr>_Toc129177111</vt:lpwstr>
      </vt:variant>
      <vt:variant>
        <vt:i4>1179710</vt:i4>
      </vt:variant>
      <vt:variant>
        <vt:i4>92</vt:i4>
      </vt:variant>
      <vt:variant>
        <vt:i4>0</vt:i4>
      </vt:variant>
      <vt:variant>
        <vt:i4>5</vt:i4>
      </vt:variant>
      <vt:variant>
        <vt:lpwstr/>
      </vt:variant>
      <vt:variant>
        <vt:lpwstr>_Toc129177110</vt:lpwstr>
      </vt:variant>
      <vt:variant>
        <vt:i4>1245246</vt:i4>
      </vt:variant>
      <vt:variant>
        <vt:i4>86</vt:i4>
      </vt:variant>
      <vt:variant>
        <vt:i4>0</vt:i4>
      </vt:variant>
      <vt:variant>
        <vt:i4>5</vt:i4>
      </vt:variant>
      <vt:variant>
        <vt:lpwstr/>
      </vt:variant>
      <vt:variant>
        <vt:lpwstr>_Toc129177109</vt:lpwstr>
      </vt:variant>
      <vt:variant>
        <vt:i4>1245246</vt:i4>
      </vt:variant>
      <vt:variant>
        <vt:i4>80</vt:i4>
      </vt:variant>
      <vt:variant>
        <vt:i4>0</vt:i4>
      </vt:variant>
      <vt:variant>
        <vt:i4>5</vt:i4>
      </vt:variant>
      <vt:variant>
        <vt:lpwstr/>
      </vt:variant>
      <vt:variant>
        <vt:lpwstr>_Toc129177108</vt:lpwstr>
      </vt:variant>
      <vt:variant>
        <vt:i4>1245246</vt:i4>
      </vt:variant>
      <vt:variant>
        <vt:i4>74</vt:i4>
      </vt:variant>
      <vt:variant>
        <vt:i4>0</vt:i4>
      </vt:variant>
      <vt:variant>
        <vt:i4>5</vt:i4>
      </vt:variant>
      <vt:variant>
        <vt:lpwstr/>
      </vt:variant>
      <vt:variant>
        <vt:lpwstr>_Toc129177107</vt:lpwstr>
      </vt:variant>
      <vt:variant>
        <vt:i4>1245246</vt:i4>
      </vt:variant>
      <vt:variant>
        <vt:i4>68</vt:i4>
      </vt:variant>
      <vt:variant>
        <vt:i4>0</vt:i4>
      </vt:variant>
      <vt:variant>
        <vt:i4>5</vt:i4>
      </vt:variant>
      <vt:variant>
        <vt:lpwstr/>
      </vt:variant>
      <vt:variant>
        <vt:lpwstr>_Toc129177106</vt:lpwstr>
      </vt:variant>
      <vt:variant>
        <vt:i4>1245246</vt:i4>
      </vt:variant>
      <vt:variant>
        <vt:i4>62</vt:i4>
      </vt:variant>
      <vt:variant>
        <vt:i4>0</vt:i4>
      </vt:variant>
      <vt:variant>
        <vt:i4>5</vt:i4>
      </vt:variant>
      <vt:variant>
        <vt:lpwstr/>
      </vt:variant>
      <vt:variant>
        <vt:lpwstr>_Toc129177105</vt:lpwstr>
      </vt:variant>
      <vt:variant>
        <vt:i4>1245246</vt:i4>
      </vt:variant>
      <vt:variant>
        <vt:i4>56</vt:i4>
      </vt:variant>
      <vt:variant>
        <vt:i4>0</vt:i4>
      </vt:variant>
      <vt:variant>
        <vt:i4>5</vt:i4>
      </vt:variant>
      <vt:variant>
        <vt:lpwstr/>
      </vt:variant>
      <vt:variant>
        <vt:lpwstr>_Toc129177104</vt:lpwstr>
      </vt:variant>
      <vt:variant>
        <vt:i4>1245246</vt:i4>
      </vt:variant>
      <vt:variant>
        <vt:i4>50</vt:i4>
      </vt:variant>
      <vt:variant>
        <vt:i4>0</vt:i4>
      </vt:variant>
      <vt:variant>
        <vt:i4>5</vt:i4>
      </vt:variant>
      <vt:variant>
        <vt:lpwstr/>
      </vt:variant>
      <vt:variant>
        <vt:lpwstr>_Toc129177103</vt:lpwstr>
      </vt:variant>
      <vt:variant>
        <vt:i4>1245246</vt:i4>
      </vt:variant>
      <vt:variant>
        <vt:i4>44</vt:i4>
      </vt:variant>
      <vt:variant>
        <vt:i4>0</vt:i4>
      </vt:variant>
      <vt:variant>
        <vt:i4>5</vt:i4>
      </vt:variant>
      <vt:variant>
        <vt:lpwstr/>
      </vt:variant>
      <vt:variant>
        <vt:lpwstr>_Toc129177102</vt:lpwstr>
      </vt:variant>
      <vt:variant>
        <vt:i4>1245246</vt:i4>
      </vt:variant>
      <vt:variant>
        <vt:i4>38</vt:i4>
      </vt:variant>
      <vt:variant>
        <vt:i4>0</vt:i4>
      </vt:variant>
      <vt:variant>
        <vt:i4>5</vt:i4>
      </vt:variant>
      <vt:variant>
        <vt:lpwstr/>
      </vt:variant>
      <vt:variant>
        <vt:lpwstr>_Toc129177101</vt:lpwstr>
      </vt:variant>
      <vt:variant>
        <vt:i4>1245246</vt:i4>
      </vt:variant>
      <vt:variant>
        <vt:i4>32</vt:i4>
      </vt:variant>
      <vt:variant>
        <vt:i4>0</vt:i4>
      </vt:variant>
      <vt:variant>
        <vt:i4>5</vt:i4>
      </vt:variant>
      <vt:variant>
        <vt:lpwstr/>
      </vt:variant>
      <vt:variant>
        <vt:lpwstr>_Toc129177100</vt:lpwstr>
      </vt:variant>
      <vt:variant>
        <vt:i4>1703999</vt:i4>
      </vt:variant>
      <vt:variant>
        <vt:i4>26</vt:i4>
      </vt:variant>
      <vt:variant>
        <vt:i4>0</vt:i4>
      </vt:variant>
      <vt:variant>
        <vt:i4>5</vt:i4>
      </vt:variant>
      <vt:variant>
        <vt:lpwstr/>
      </vt:variant>
      <vt:variant>
        <vt:lpwstr>_Toc129177099</vt:lpwstr>
      </vt:variant>
      <vt:variant>
        <vt:i4>1703999</vt:i4>
      </vt:variant>
      <vt:variant>
        <vt:i4>20</vt:i4>
      </vt:variant>
      <vt:variant>
        <vt:i4>0</vt:i4>
      </vt:variant>
      <vt:variant>
        <vt:i4>5</vt:i4>
      </vt:variant>
      <vt:variant>
        <vt:lpwstr/>
      </vt:variant>
      <vt:variant>
        <vt:lpwstr>_Toc129177098</vt:lpwstr>
      </vt:variant>
      <vt:variant>
        <vt:i4>1703999</vt:i4>
      </vt:variant>
      <vt:variant>
        <vt:i4>14</vt:i4>
      </vt:variant>
      <vt:variant>
        <vt:i4>0</vt:i4>
      </vt:variant>
      <vt:variant>
        <vt:i4>5</vt:i4>
      </vt:variant>
      <vt:variant>
        <vt:lpwstr/>
      </vt:variant>
      <vt:variant>
        <vt:lpwstr>_Toc129177097</vt:lpwstr>
      </vt:variant>
      <vt:variant>
        <vt:i4>1703999</vt:i4>
      </vt:variant>
      <vt:variant>
        <vt:i4>8</vt:i4>
      </vt:variant>
      <vt:variant>
        <vt:i4>0</vt:i4>
      </vt:variant>
      <vt:variant>
        <vt:i4>5</vt:i4>
      </vt:variant>
      <vt:variant>
        <vt:lpwstr/>
      </vt:variant>
      <vt:variant>
        <vt:lpwstr>_Toc129177096</vt:lpwstr>
      </vt:variant>
      <vt:variant>
        <vt:i4>1703999</vt:i4>
      </vt:variant>
      <vt:variant>
        <vt:i4>2</vt:i4>
      </vt:variant>
      <vt:variant>
        <vt:i4>0</vt:i4>
      </vt:variant>
      <vt:variant>
        <vt:i4>5</vt:i4>
      </vt:variant>
      <vt:variant>
        <vt:lpwstr/>
      </vt:variant>
      <vt:variant>
        <vt:lpwstr>_Toc129177095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DETAILLEE</dc:title>
  <dc:creator>COMINFO</dc:creator>
  <cp:lastModifiedBy>BEHENGARAY Aurélien</cp:lastModifiedBy>
  <cp:revision>19</cp:revision>
  <cp:lastPrinted>2024-02-23T13:06:00Z</cp:lastPrinted>
  <dcterms:created xsi:type="dcterms:W3CDTF">2026-02-23T11:30:00Z</dcterms:created>
  <dcterms:modified xsi:type="dcterms:W3CDTF">2026-03-28T08:36:00Z</dcterms:modified>
</cp:coreProperties>
</file>