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549B6" w14:textId="29B8E28C" w:rsidR="0024532E" w:rsidRPr="00AF34DC" w:rsidRDefault="003A607C" w:rsidP="00BC631D">
      <w:pPr>
        <w:pStyle w:val="Titre"/>
        <w:ind w:left="5670"/>
        <w:jc w:val="right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2024-0583</w:t>
      </w:r>
      <w:r w:rsidR="0024532E" w:rsidRPr="00AF34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MRN</w:t>
      </w:r>
    </w:p>
    <w:p w14:paraId="4759BAD6" w14:textId="77777777" w:rsidR="0024532E" w:rsidRPr="00AF34DC" w:rsidRDefault="0024532E" w:rsidP="00BC631D">
      <w:pPr>
        <w:pStyle w:val="Titre"/>
        <w:ind w:left="0"/>
        <w:jc w:val="left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2E1E9A2F" w14:textId="77777777" w:rsidR="0024532E" w:rsidRPr="00AF34DC" w:rsidRDefault="0024532E" w:rsidP="00BC631D">
      <w:pPr>
        <w:pStyle w:val="Titre"/>
        <w:ind w:left="0"/>
        <w:jc w:val="left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70DC17B" w14:textId="77777777" w:rsidR="0024532E" w:rsidRPr="00AF34DC" w:rsidRDefault="0024532E" w:rsidP="00BC631D">
      <w:pPr>
        <w:pStyle w:val="Titre"/>
        <w:ind w:left="0"/>
        <w:jc w:val="left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15C485AB" w14:textId="77777777" w:rsidR="0024532E" w:rsidRPr="00AF34DC" w:rsidRDefault="0024532E" w:rsidP="003F0999">
      <w:pPr>
        <w:pStyle w:val="Titre"/>
        <w:ind w:left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2F48BFDF" w14:textId="77777777" w:rsidR="0024532E" w:rsidRPr="00AF34DC" w:rsidRDefault="0024532E" w:rsidP="00C9398B">
      <w:pPr>
        <w:pStyle w:val="Titre"/>
        <w:ind w:left="0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  <w:r w:rsidRPr="00AF34DC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VILLE DE SOTTEVILLE-Lès-ROUEN</w:t>
      </w:r>
    </w:p>
    <w:p w14:paraId="14F5A42F" w14:textId="77777777" w:rsidR="0024532E" w:rsidRPr="00AF34DC" w:rsidRDefault="0024532E" w:rsidP="003F0999">
      <w:pPr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AF34DC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Arrêté provisoire</w:t>
      </w:r>
    </w:p>
    <w:p w14:paraId="2EA84E35" w14:textId="77777777" w:rsidR="0024532E" w:rsidRPr="00AF34DC" w:rsidRDefault="0024532E" w:rsidP="003F0999">
      <w:pPr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09CD0466" w14:textId="67B89E76" w:rsidR="0024532E" w:rsidRPr="00AF34DC" w:rsidRDefault="00622417" w:rsidP="003F0999">
      <w:pPr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AF34DC">
        <w:rPr>
          <w:rFonts w:asciiTheme="minorHAnsi" w:hAnsiTheme="minorHAnsi" w:cstheme="minorHAnsi"/>
          <w:b/>
          <w:bCs/>
          <w:noProof/>
          <w:color w:val="000000" w:themeColor="text1"/>
          <w:sz w:val="18"/>
          <w:szCs w:val="18"/>
        </w:rPr>
        <w:t xml:space="preserve">passage </w:t>
      </w:r>
      <w:r w:rsidR="0024532E" w:rsidRPr="00AF34DC">
        <w:rPr>
          <w:rFonts w:asciiTheme="minorHAnsi" w:hAnsiTheme="minorHAnsi" w:cstheme="minorHAnsi"/>
          <w:b/>
          <w:bCs/>
          <w:noProof/>
          <w:color w:val="000000" w:themeColor="text1"/>
          <w:sz w:val="18"/>
          <w:szCs w:val="18"/>
        </w:rPr>
        <w:t xml:space="preserve">SASSAIGNE </w:t>
      </w:r>
    </w:p>
    <w:p w14:paraId="192E78ED" w14:textId="77777777" w:rsidR="0024532E" w:rsidRPr="00AF34DC" w:rsidRDefault="0024532E" w:rsidP="00BC631D">
      <w:pPr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26E1D498" w14:textId="77777777" w:rsidR="0024532E" w:rsidRPr="00AF34DC" w:rsidRDefault="0024532E" w:rsidP="00BC631D">
      <w:pPr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bookmarkStart w:id="0" w:name="_GoBack"/>
      <w:bookmarkEnd w:id="0"/>
    </w:p>
    <w:p w14:paraId="40A5A369" w14:textId="77777777" w:rsidR="0024532E" w:rsidRPr="00AF34DC" w:rsidRDefault="0024532E" w:rsidP="00BC631D">
      <w:pPr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AF34DC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Nous, Alexis RAGACHE, Maire de la commune de SOTTEVILLE-Lès-ROUEN</w:t>
      </w:r>
    </w:p>
    <w:p w14:paraId="2D7AC4F8" w14:textId="77777777" w:rsidR="0024532E" w:rsidRPr="00AF34DC" w:rsidRDefault="0024532E" w:rsidP="00BC631D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9E31F0E" w14:textId="77777777" w:rsidR="0024532E" w:rsidRPr="00AF34DC" w:rsidRDefault="0024532E" w:rsidP="00027E64">
      <w:pPr>
        <w:tabs>
          <w:tab w:val="left" w:pos="709"/>
          <w:tab w:val="left" w:pos="993"/>
        </w:tabs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VU</w:t>
      </w: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 : </w:t>
      </w: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ab/>
        <w:t xml:space="preserve">- </w:t>
      </w: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ab/>
        <w:t>Le Code Général des Collectivités Territoriales,</w:t>
      </w:r>
    </w:p>
    <w:p w14:paraId="792B486E" w14:textId="77777777" w:rsidR="0024532E" w:rsidRPr="00AF34DC" w:rsidRDefault="0024532E" w:rsidP="00027E64">
      <w:pPr>
        <w:numPr>
          <w:ilvl w:val="0"/>
          <w:numId w:val="1"/>
        </w:numPr>
        <w:tabs>
          <w:tab w:val="clear" w:pos="1065"/>
          <w:tab w:val="left" w:pos="993"/>
        </w:tabs>
        <w:ind w:left="709" w:firstLine="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Le Code de la Route,</w:t>
      </w:r>
    </w:p>
    <w:p w14:paraId="0C8696D4" w14:textId="77777777" w:rsidR="0024532E" w:rsidRPr="00AF34DC" w:rsidRDefault="0024532E" w:rsidP="00027E64">
      <w:pPr>
        <w:numPr>
          <w:ilvl w:val="0"/>
          <w:numId w:val="1"/>
        </w:numPr>
        <w:tabs>
          <w:tab w:val="clear" w:pos="1065"/>
          <w:tab w:val="num" w:pos="993"/>
        </w:tabs>
        <w:ind w:left="709" w:firstLine="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Le Code Pénal,</w:t>
      </w:r>
    </w:p>
    <w:p w14:paraId="22550807" w14:textId="77777777" w:rsidR="0024532E" w:rsidRPr="00AF34DC" w:rsidRDefault="0024532E" w:rsidP="00027E64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- </w:t>
      </w:r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ab/>
        <w:t xml:space="preserve">La loi n°2014-58 du </w:t>
      </w:r>
      <w:smartTag w:uri="urn:schemas-microsoft-com:office:smarttags" w:element="date">
        <w:smartTagPr>
          <w:attr w:name="Year" w:val="2014"/>
          <w:attr w:name="Day" w:val="27"/>
          <w:attr w:name="Month" w:val="1"/>
          <w:attr w:name="ls" w:val="trans"/>
        </w:smartTagPr>
        <w:r w:rsidRPr="00AF34DC">
          <w:rPr>
            <w:rFonts w:asciiTheme="minorHAnsi" w:hAnsiTheme="minorHAnsi" w:cstheme="minorHAnsi"/>
            <w:noProof/>
            <w:color w:val="000000" w:themeColor="text1"/>
            <w:sz w:val="18"/>
            <w:szCs w:val="18"/>
          </w:rPr>
          <w:t>27 janvier 2014</w:t>
        </w:r>
      </w:smartTag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portant sur la Modernisation de l’Action Publique Territoriale et d’Affirmation des Métropoles,</w:t>
      </w:r>
    </w:p>
    <w:p w14:paraId="3321B32F" w14:textId="77777777" w:rsidR="0024532E" w:rsidRPr="00AF34DC" w:rsidRDefault="0024532E" w:rsidP="00027E64">
      <w:pPr>
        <w:pStyle w:val="Gesactpuce1"/>
        <w:numPr>
          <w:ilvl w:val="0"/>
          <w:numId w:val="0"/>
        </w:numPr>
        <w:tabs>
          <w:tab w:val="left" w:pos="993"/>
        </w:tabs>
        <w:ind w:left="709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- </w:t>
      </w:r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ab/>
        <w:t xml:space="preserve">Les statuts du </w:t>
      </w:r>
      <w:smartTag w:uri="urn:schemas-microsoft-com:office:smarttags" w:element="date">
        <w:smartTagPr>
          <w:attr w:name="Year" w:val="2017"/>
          <w:attr w:name="Day" w:val="15"/>
          <w:attr w:name="Month" w:val="12"/>
          <w:attr w:name="ls" w:val="trans"/>
        </w:smartTagPr>
        <w:r w:rsidRPr="00AF34DC">
          <w:rPr>
            <w:rFonts w:asciiTheme="minorHAnsi" w:hAnsiTheme="minorHAnsi" w:cstheme="minorHAnsi"/>
            <w:noProof/>
            <w:color w:val="000000" w:themeColor="text1"/>
            <w:sz w:val="18"/>
            <w:szCs w:val="18"/>
          </w:rPr>
          <w:t>15 décembre 2017</w:t>
        </w:r>
      </w:smartTag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de la Métropole Rouen Normandie,</w:t>
      </w:r>
    </w:p>
    <w:p w14:paraId="2EE3E638" w14:textId="77777777" w:rsidR="0024532E" w:rsidRPr="00AF34DC" w:rsidRDefault="0024532E" w:rsidP="00027E64">
      <w:pPr>
        <w:pStyle w:val="Gesactpuce1"/>
        <w:numPr>
          <w:ilvl w:val="0"/>
          <w:numId w:val="0"/>
        </w:numPr>
        <w:tabs>
          <w:tab w:val="left" w:pos="993"/>
        </w:tabs>
        <w:ind w:left="990" w:hanging="285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- </w:t>
      </w:r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ab/>
        <w:t xml:space="preserve">La délibération du Conseil Métropolitain du </w:t>
      </w:r>
      <w:smartTag w:uri="urn:schemas-microsoft-com:office:smarttags" w:element="date">
        <w:smartTagPr>
          <w:attr w:name="Year" w:val="2015"/>
          <w:attr w:name="Day" w:val="15"/>
          <w:attr w:name="Month" w:val="12"/>
          <w:attr w:name="ls" w:val="trans"/>
        </w:smartTagPr>
        <w:r w:rsidRPr="00AF34DC">
          <w:rPr>
            <w:rFonts w:asciiTheme="minorHAnsi" w:hAnsiTheme="minorHAnsi" w:cstheme="minorHAnsi"/>
            <w:noProof/>
            <w:color w:val="000000" w:themeColor="text1"/>
            <w:sz w:val="18"/>
            <w:szCs w:val="18"/>
          </w:rPr>
          <w:t>15 décembre 2015</w:t>
        </w:r>
      </w:smartTag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approuvant le transfert au 1</w:t>
      </w:r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  <w:vertAlign w:val="superscript"/>
        </w:rPr>
        <w:t>er</w:t>
      </w:r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janvier 2016 des voiries départementales,</w:t>
      </w:r>
    </w:p>
    <w:p w14:paraId="7803CB81" w14:textId="77777777" w:rsidR="0024532E" w:rsidRPr="00AF34DC" w:rsidRDefault="0024532E" w:rsidP="00027E64">
      <w:pPr>
        <w:pStyle w:val="Gesactpuce1"/>
        <w:numPr>
          <w:ilvl w:val="0"/>
          <w:numId w:val="1"/>
        </w:numPr>
        <w:tabs>
          <w:tab w:val="clear" w:pos="1065"/>
        </w:tabs>
        <w:ind w:left="993" w:hanging="288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Le règlement de voirie Métropolitain adopté par délibération du 1</w:t>
      </w:r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  <w:vertAlign w:val="superscript"/>
        </w:rPr>
        <w:t>er</w:t>
      </w:r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avril 2019 et opposable au demandeur du présent arrêté,</w:t>
      </w:r>
    </w:p>
    <w:p w14:paraId="44A319E9" w14:textId="77777777" w:rsidR="0024532E" w:rsidRPr="00AF34DC" w:rsidRDefault="0024532E" w:rsidP="00CD5D1A">
      <w:pPr>
        <w:numPr>
          <w:ilvl w:val="0"/>
          <w:numId w:val="1"/>
        </w:numPr>
        <w:tabs>
          <w:tab w:val="clear" w:pos="1065"/>
          <w:tab w:val="num" w:pos="993"/>
        </w:tabs>
        <w:spacing w:after="120"/>
        <w:ind w:left="709" w:firstLine="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La demande présentée le </w:t>
      </w:r>
      <w:r w:rsidRPr="00AF34DC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>vendredi 12 juillet 2024</w:t>
      </w: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par </w:t>
      </w:r>
      <w:r w:rsidRPr="00AF34DC">
        <w:rPr>
          <w:rFonts w:asciiTheme="minorHAnsi" w:eastAsia="Arial Unicode MS" w:hAnsiTheme="minorHAnsi" w:cstheme="minorHAnsi"/>
          <w:bCs/>
          <w:color w:val="000000" w:themeColor="text1"/>
          <w:sz w:val="18"/>
          <w:szCs w:val="18"/>
        </w:rPr>
        <w:t xml:space="preserve">la Société </w:t>
      </w:r>
      <w:r w:rsidRPr="00AF34DC">
        <w:rPr>
          <w:rFonts w:asciiTheme="minorHAnsi" w:eastAsia="Arial Unicode MS" w:hAnsiTheme="minorHAnsi" w:cstheme="minorHAnsi"/>
          <w:b/>
          <w:noProof/>
          <w:color w:val="000000" w:themeColor="text1"/>
          <w:sz w:val="18"/>
          <w:szCs w:val="18"/>
        </w:rPr>
        <w:t>GARCZYNSKI TRAPLOIR-YVETOT</w:t>
      </w:r>
      <w:r w:rsidRPr="00AF34DC">
        <w:rPr>
          <w:rFonts w:asciiTheme="minorHAnsi" w:eastAsia="Arial Unicode MS" w:hAnsiTheme="minorHAnsi" w:cstheme="minorHAnsi"/>
          <w:bCs/>
          <w:color w:val="000000" w:themeColor="text1"/>
          <w:sz w:val="18"/>
          <w:szCs w:val="18"/>
        </w:rPr>
        <w:t>.</w:t>
      </w:r>
    </w:p>
    <w:p w14:paraId="4025D7D6" w14:textId="0E414BC4" w:rsidR="0024532E" w:rsidRPr="00AF34DC" w:rsidRDefault="0024532E" w:rsidP="00212347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Considérant que </w:t>
      </w:r>
      <w:r w:rsidRPr="00AF34DC">
        <w:rPr>
          <w:rFonts w:asciiTheme="minorHAnsi" w:eastAsia="Arial Unicode MS" w:hAnsiTheme="minorHAnsi" w:cstheme="minorHAnsi"/>
          <w:bCs/>
          <w:color w:val="000000" w:themeColor="text1"/>
          <w:sz w:val="18"/>
          <w:szCs w:val="18"/>
        </w:rPr>
        <w:t>la Société</w:t>
      </w: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AF34DC">
        <w:rPr>
          <w:rFonts w:asciiTheme="minorHAnsi" w:eastAsia="Arial Unicode MS" w:hAnsiTheme="minorHAnsi" w:cstheme="minorHAnsi"/>
          <w:b/>
          <w:noProof/>
          <w:color w:val="000000" w:themeColor="text1"/>
          <w:sz w:val="18"/>
          <w:szCs w:val="18"/>
        </w:rPr>
        <w:t>GARCZYNSKI TRAPLOIR-YVETOT</w:t>
      </w: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doit réaliser des travaux </w:t>
      </w:r>
      <w:r w:rsidR="00622417"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sur le réseau ENEDIS</w:t>
      </w: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</w:t>
      </w:r>
      <w:r w:rsidR="00622417"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(</w:t>
      </w:r>
      <w:r w:rsidRPr="00AF34DC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>renforcement des réseaux</w:t>
      </w:r>
      <w:r w:rsidR="00622417" w:rsidRPr="00AF34DC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>)</w:t>
      </w: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,</w:t>
      </w:r>
    </w:p>
    <w:p w14:paraId="06D5FE91" w14:textId="77777777" w:rsidR="0024532E" w:rsidRPr="00AF34DC" w:rsidRDefault="0024532E" w:rsidP="00212347">
      <w:pPr>
        <w:spacing w:after="12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Considérant qu'il est nécessaire de réglementer la circulation et le stationnement.</w:t>
      </w:r>
    </w:p>
    <w:p w14:paraId="5A93C1A3" w14:textId="77777777" w:rsidR="0024532E" w:rsidRPr="00AF34DC" w:rsidRDefault="0024532E" w:rsidP="00027E64">
      <w:pPr>
        <w:spacing w:after="12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ARRETONS</w:t>
      </w: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 : </w:t>
      </w:r>
    </w:p>
    <w:p w14:paraId="7178768F" w14:textId="2DE876F1" w:rsidR="0024532E" w:rsidRPr="00AF34DC" w:rsidRDefault="0024532E" w:rsidP="00027E64">
      <w:pPr>
        <w:spacing w:after="12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Article 1</w:t>
      </w: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 : </w:t>
      </w: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Du </w:t>
      </w:r>
      <w:r w:rsidRPr="00AF34DC">
        <w:rPr>
          <w:rFonts w:asciiTheme="minorHAnsi" w:eastAsia="Arial Unicode MS" w:hAnsiTheme="minorHAnsi" w:cstheme="minorHAnsi"/>
          <w:b/>
          <w:noProof/>
          <w:color w:val="000000" w:themeColor="text1"/>
          <w:sz w:val="18"/>
          <w:szCs w:val="18"/>
        </w:rPr>
        <w:t>19 août 2024</w:t>
      </w: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au </w:t>
      </w:r>
      <w:r w:rsidR="0030314D"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06</w:t>
      </w:r>
      <w:r w:rsid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septembre </w:t>
      </w:r>
      <w:r w:rsidR="0030314D"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2024</w:t>
      </w:r>
      <w:r w:rsid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i</w:t>
      </w: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nclus,</w:t>
      </w: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les mesures suivantes sont applicables </w:t>
      </w:r>
      <w:r w:rsidR="00622417" w:rsidRPr="00AF34DC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 xml:space="preserve">passage </w:t>
      </w:r>
      <w:r w:rsidRPr="00AF34DC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>SASSAIGNE</w:t>
      </w: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:</w:t>
      </w:r>
    </w:p>
    <w:p w14:paraId="35693ED1" w14:textId="769B5784" w:rsidR="0024532E" w:rsidRPr="00AF34DC" w:rsidRDefault="0024532E" w:rsidP="00212347">
      <w:pPr>
        <w:pStyle w:val="GesactTitre10Gras"/>
        <w:keepNext w:val="0"/>
        <w:suppressAutoHyphens/>
        <w:spacing w:line="240" w:lineRule="auto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Pendant la durée des travaux selon l</w:t>
      </w:r>
      <w:r w:rsidR="00AF34DC"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es</w:t>
      </w:r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fiche</w:t>
      </w:r>
      <w:r w:rsidR="00AF34DC"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s</w:t>
      </w:r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du guide CERTU / Signalisation Temporaire / Voirie Urbaine / Manuel du Chef de Chantier / Edition 2003 / Fiches Réf. 4-02 et 6-08</w:t>
      </w:r>
      <w:r w:rsidR="00AF34DC"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.</w:t>
      </w:r>
    </w:p>
    <w:p w14:paraId="219B9CF0" w14:textId="77777777" w:rsidR="0024532E" w:rsidRPr="00AF34DC" w:rsidRDefault="0024532E" w:rsidP="002D304B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</w:p>
    <w:p w14:paraId="69E061D3" w14:textId="77777777" w:rsidR="0024532E" w:rsidRDefault="0024532E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Le stationnement est interdit au droit du chantier et qualifié de gênant au titre de l’Article R417-10 du Code de la Route,</w:t>
      </w:r>
    </w:p>
    <w:p w14:paraId="02A880D2" w14:textId="5C1F5B3D" w:rsidR="009E079B" w:rsidRPr="00AF34DC" w:rsidRDefault="009E079B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9B0B8F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La circulation générale se fait en chaussée rétrécie au droit des travaux et une largeur de voie est maintenue</w:t>
      </w:r>
      <w:r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,</w:t>
      </w:r>
    </w:p>
    <w:p w14:paraId="4936CF78" w14:textId="4F88807E" w:rsidR="0024532E" w:rsidRPr="00AF34DC" w:rsidRDefault="0024532E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Les travaux sont réali</w:t>
      </w:r>
      <w:r w:rsidR="00656D90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sés de 8H00 </w:t>
      </w:r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à 17H00 et en dehors de ces horaires, la chaussée est réduite au droit des travaux </w:t>
      </w:r>
      <w:r w:rsidR="00AF34DC"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puis </w:t>
      </w:r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une largeur de voie est maintenue,</w:t>
      </w:r>
    </w:p>
    <w:p w14:paraId="5C7138A7" w14:textId="60FA1EC0" w:rsidR="00622417" w:rsidRPr="00AF34DC" w:rsidRDefault="0024532E" w:rsidP="00AF34DC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AF34DC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La vitesse des véhicules au droit des emprises du chantier est limitée à 20 km/h, au sens de l’Article R413-1.</w:t>
      </w:r>
    </w:p>
    <w:p w14:paraId="104942DC" w14:textId="77777777" w:rsidR="00AF34DC" w:rsidRPr="00AF34DC" w:rsidRDefault="00AF34DC" w:rsidP="00F63A29">
      <w:pPr>
        <w:pStyle w:val="Gesactpuce1"/>
        <w:numPr>
          <w:ilvl w:val="0"/>
          <w:numId w:val="0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</w:p>
    <w:p w14:paraId="05D99887" w14:textId="77777777" w:rsidR="0024532E" w:rsidRPr="00AF34DC" w:rsidRDefault="0024532E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Article 2</w:t>
      </w: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: La circulation des piétons doit être préservée en toute sécurité, l’approche des véhicules de secours et l’accès aux propriétés riveraines doivent être maintenus.</w:t>
      </w:r>
    </w:p>
    <w:p w14:paraId="07BD197C" w14:textId="77777777" w:rsidR="0024532E" w:rsidRPr="00AF34DC" w:rsidRDefault="0024532E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</w:p>
    <w:p w14:paraId="7C87647D" w14:textId="77777777" w:rsidR="0024532E" w:rsidRPr="00AF34DC" w:rsidRDefault="0024532E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Article 3</w:t>
      </w: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: </w:t>
      </w:r>
      <w:r w:rsidRPr="00AF34DC">
        <w:rPr>
          <w:rFonts w:asciiTheme="minorHAnsi" w:eastAsia="Arial Unicode MS" w:hAnsiTheme="minorHAnsi" w:cstheme="minorHAnsi"/>
          <w:bCs/>
          <w:color w:val="000000" w:themeColor="text1"/>
          <w:sz w:val="18"/>
          <w:szCs w:val="18"/>
        </w:rPr>
        <w:t>La Société</w:t>
      </w: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AF34DC">
        <w:rPr>
          <w:rFonts w:asciiTheme="minorHAnsi" w:eastAsia="Arial Unicode MS" w:hAnsiTheme="minorHAnsi" w:cstheme="minorHAnsi"/>
          <w:b/>
          <w:noProof/>
          <w:color w:val="000000" w:themeColor="text1"/>
          <w:sz w:val="18"/>
          <w:szCs w:val="18"/>
        </w:rPr>
        <w:t>GARCZYNSKI TRAPLOIR-YVETOT</w:t>
      </w: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est chargée de la mise en place de la signalisation réglementaire, conforme à la 8</w:t>
      </w: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  <w:vertAlign w:val="superscript"/>
        </w:rPr>
        <w:t>ème</w:t>
      </w: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partie de l’Instruction Ministérielle sur la signalisation routière sous le contrôle de la Métropole Rouen Normandie.</w:t>
      </w:r>
    </w:p>
    <w:p w14:paraId="71270352" w14:textId="77777777" w:rsidR="0024532E" w:rsidRPr="00AF34DC" w:rsidRDefault="0024532E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</w:p>
    <w:p w14:paraId="00B760FF" w14:textId="77777777" w:rsidR="0024532E" w:rsidRPr="00AF34DC" w:rsidRDefault="0024532E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F34DC"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</w:rPr>
        <w:t>Article 4</w:t>
      </w:r>
      <w:r w:rsidRPr="00AF34DC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:</w:t>
      </w:r>
      <w:r w:rsidRPr="00AF34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Le présent arrêté peut être révoqué par la commune de SOTTEVILLE-Lès-ROUEN avant la fin de la période de validité en cas de non-respect des articles ci-dessus.</w:t>
      </w:r>
    </w:p>
    <w:p w14:paraId="1610C206" w14:textId="77777777" w:rsidR="0024532E" w:rsidRPr="00AF34DC" w:rsidRDefault="0024532E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</w:p>
    <w:p w14:paraId="1BF01A2E" w14:textId="77777777" w:rsidR="0024532E" w:rsidRPr="00AF34DC" w:rsidRDefault="0024532E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Article 5</w:t>
      </w: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: Une copie du présent arrêté est adressée à la Métropole Rouen Normandie – Services Circulation, des Déchets et des Transports, à la Police Nationale et au SDIS.</w:t>
      </w:r>
    </w:p>
    <w:p w14:paraId="652905F4" w14:textId="77777777" w:rsidR="0024532E" w:rsidRPr="00AF34DC" w:rsidRDefault="0024532E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</w:p>
    <w:p w14:paraId="71D63C6A" w14:textId="77777777" w:rsidR="0024532E" w:rsidRPr="00AF34DC" w:rsidRDefault="0024532E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Article 6</w:t>
      </w:r>
      <w:r w:rsidRPr="00AF34DC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: Monsieur le Directeur Général des Services de la Métropole Rouen Normandie, Monsieur le Directeur Général des Services de la ville de Sotteville-Lès-Rouen, les Services de Police Nationale et Municipale sont chargés, chacun en ce qui le concerne, de l’exécution du présent arrêté.</w:t>
      </w:r>
    </w:p>
    <w:p w14:paraId="42D89DB4" w14:textId="77777777" w:rsidR="0024532E" w:rsidRPr="00AF34DC" w:rsidRDefault="0024532E" w:rsidP="008A2463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</w:p>
    <w:p w14:paraId="0B26CB26" w14:textId="2D9E963A" w:rsidR="0024532E" w:rsidRPr="00AF34DC" w:rsidRDefault="0024532E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SOTTEVILLE-LÈS-ROUEN, le </w:t>
      </w: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fldChar w:fldCharType="begin"/>
      </w: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instrText xml:space="preserve"> TIME \@ "d MMMM yyyy" </w:instrText>
      </w: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fldChar w:fldCharType="separate"/>
      </w:r>
      <w:r w:rsidR="003A607C">
        <w:rPr>
          <w:rFonts w:asciiTheme="minorHAnsi" w:eastAsia="Arial Unicode MS" w:hAnsiTheme="minorHAnsi" w:cstheme="minorHAnsi"/>
          <w:b/>
          <w:noProof/>
          <w:color w:val="000000" w:themeColor="text1"/>
          <w:sz w:val="18"/>
          <w:szCs w:val="18"/>
        </w:rPr>
        <w:t>2 août 2024</w:t>
      </w: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fldChar w:fldCharType="end"/>
      </w:r>
    </w:p>
    <w:p w14:paraId="6A4C3297" w14:textId="77777777" w:rsidR="0024532E" w:rsidRPr="00AF34DC" w:rsidRDefault="0024532E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</w:p>
    <w:p w14:paraId="083DB721" w14:textId="77777777" w:rsidR="0024532E" w:rsidRPr="00AF34DC" w:rsidRDefault="0024532E" w:rsidP="00212347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Maire,</w:t>
      </w:r>
    </w:p>
    <w:p w14:paraId="42A73286" w14:textId="77777777" w:rsidR="0024532E" w:rsidRPr="00AF34DC" w:rsidRDefault="0024532E" w:rsidP="00212347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Conseiller Départemental,</w:t>
      </w:r>
    </w:p>
    <w:p w14:paraId="234A07BD" w14:textId="77777777" w:rsidR="0024532E" w:rsidRPr="00AF34DC" w:rsidRDefault="0024532E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</w:p>
    <w:p w14:paraId="6A1794F4" w14:textId="77777777" w:rsidR="0024532E" w:rsidRPr="00AF34DC" w:rsidRDefault="0024532E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  <w:r w:rsidRPr="00AF34D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Alexis RAGACHE</w:t>
      </w:r>
    </w:p>
    <w:p w14:paraId="25BA56CB" w14:textId="77777777" w:rsidR="0024532E" w:rsidRPr="00AF34DC" w:rsidRDefault="0024532E" w:rsidP="00027E64">
      <w:pPr>
        <w:ind w:left="3686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  <w:sectPr w:rsidR="0024532E" w:rsidRPr="00AF34DC" w:rsidSect="0024532E">
          <w:footerReference w:type="default" r:id="rId8"/>
          <w:footerReference w:type="first" r:id="rId9"/>
          <w:pgSz w:w="11906" w:h="16838" w:code="9"/>
          <w:pgMar w:top="426" w:right="851" w:bottom="426" w:left="1985" w:header="624" w:footer="108" w:gutter="0"/>
          <w:pgNumType w:start="1"/>
          <w:cols w:space="720"/>
          <w:titlePg/>
          <w:docGrid w:linePitch="272"/>
        </w:sectPr>
      </w:pPr>
    </w:p>
    <w:p w14:paraId="78A070C6" w14:textId="77777777" w:rsidR="0024532E" w:rsidRPr="00212347" w:rsidRDefault="0024532E" w:rsidP="00027E64">
      <w:pPr>
        <w:ind w:left="368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sectPr w:rsidR="0024532E" w:rsidRPr="00212347" w:rsidSect="0024532E">
      <w:footerReference w:type="default" r:id="rId10"/>
      <w:footerReference w:type="first" r:id="rId11"/>
      <w:type w:val="continuous"/>
      <w:pgSz w:w="11906" w:h="16838" w:code="9"/>
      <w:pgMar w:top="426" w:right="851" w:bottom="426" w:left="1985" w:header="624" w:footer="1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4A58E" w14:textId="77777777" w:rsidR="0024532E" w:rsidRDefault="0024532E" w:rsidP="00B7352D">
      <w:r>
        <w:separator/>
      </w:r>
    </w:p>
  </w:endnote>
  <w:endnote w:type="continuationSeparator" w:id="0">
    <w:p w14:paraId="48BDF9FE" w14:textId="77777777" w:rsidR="0024532E" w:rsidRDefault="0024532E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64068" w14:textId="77777777" w:rsidR="0024532E" w:rsidRPr="00212347" w:rsidRDefault="0024532E" w:rsidP="00B7352D">
    <w:pPr>
      <w:pStyle w:val="Pieddepage"/>
      <w:tabs>
        <w:tab w:val="clear" w:pos="4536"/>
      </w:tabs>
      <w:ind w:left="3686"/>
      <w:jc w:val="both"/>
      <w:rPr>
        <w:rFonts w:asciiTheme="minorHAnsi" w:hAnsiTheme="minorHAnsi" w:cstheme="minorHAnsi"/>
        <w:sz w:val="16"/>
        <w:szCs w:val="16"/>
      </w:rPr>
    </w:pPr>
    <w:r w:rsidRPr="00212347">
      <w:rPr>
        <w:rFonts w:asciiTheme="minorHAnsi" w:hAnsiTheme="minorHAnsi" w:cstheme="minorHAnsi"/>
        <w:sz w:val="16"/>
        <w:szCs w:val="16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6"/>
          <w:szCs w:val="16"/>
        </w:rPr>
        <w:t>www.telerecours.fr</w:t>
      </w:r>
    </w:hyperlink>
    <w:r w:rsidRPr="00212347">
      <w:rPr>
        <w:rFonts w:asciiTheme="minorHAnsi" w:hAnsiTheme="minorHAnsi" w:cstheme="minorHAnsi"/>
        <w:sz w:val="16"/>
        <w:szCs w:val="16"/>
      </w:rPr>
      <w:t>.</w:t>
    </w:r>
  </w:p>
  <w:p w14:paraId="3AC196D2" w14:textId="77777777" w:rsidR="0024532E" w:rsidRPr="00212347" w:rsidRDefault="0024532E">
    <w:pPr>
      <w:pStyle w:val="Pieddepage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5E9E8" w14:textId="77777777" w:rsidR="0024532E" w:rsidRPr="00212347" w:rsidRDefault="0024532E" w:rsidP="00212347">
    <w:pPr>
      <w:pStyle w:val="Pieddepage"/>
      <w:ind w:left="1985"/>
      <w:jc w:val="both"/>
      <w:rPr>
        <w:rFonts w:asciiTheme="minorHAnsi" w:hAnsiTheme="minorHAnsi" w:cstheme="minorHAnsi"/>
        <w:sz w:val="14"/>
        <w:szCs w:val="14"/>
      </w:rPr>
    </w:pPr>
    <w:r w:rsidRPr="00212347">
      <w:rPr>
        <w:rFonts w:asciiTheme="minorHAnsi" w:hAnsiTheme="minorHAnsi" w:cstheme="minorHAnsi"/>
        <w:sz w:val="14"/>
        <w:szCs w:val="14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4"/>
          <w:szCs w:val="14"/>
        </w:rPr>
        <w:t>www.telerecours.fr</w:t>
      </w:r>
    </w:hyperlink>
    <w:r w:rsidRPr="00212347">
      <w:rPr>
        <w:rFonts w:asciiTheme="minorHAnsi" w:hAnsiTheme="minorHAnsi" w:cstheme="minorHAnsi"/>
        <w:sz w:val="14"/>
        <w:szCs w:val="14"/>
      </w:rPr>
      <w:t>.</w:t>
    </w:r>
  </w:p>
  <w:p w14:paraId="3D8B2E97" w14:textId="77777777" w:rsidR="0024532E" w:rsidRDefault="0024532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DCD2D" w14:textId="77777777" w:rsidR="00B7352D" w:rsidRPr="00212347" w:rsidRDefault="00B7352D" w:rsidP="00B7352D">
    <w:pPr>
      <w:pStyle w:val="Pieddepage"/>
      <w:tabs>
        <w:tab w:val="clear" w:pos="4536"/>
      </w:tabs>
      <w:ind w:left="3686"/>
      <w:jc w:val="both"/>
      <w:rPr>
        <w:rFonts w:asciiTheme="minorHAnsi" w:hAnsiTheme="minorHAnsi" w:cstheme="minorHAnsi"/>
        <w:sz w:val="16"/>
        <w:szCs w:val="16"/>
      </w:rPr>
    </w:pPr>
    <w:r w:rsidRPr="00212347">
      <w:rPr>
        <w:rFonts w:asciiTheme="minorHAnsi" w:hAnsiTheme="minorHAnsi" w:cstheme="minorHAnsi"/>
        <w:sz w:val="16"/>
        <w:szCs w:val="16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6"/>
          <w:szCs w:val="16"/>
        </w:rPr>
        <w:t>www.telerecours.fr</w:t>
      </w:r>
    </w:hyperlink>
    <w:r w:rsidRPr="00212347">
      <w:rPr>
        <w:rFonts w:asciiTheme="minorHAnsi" w:hAnsiTheme="minorHAnsi" w:cstheme="minorHAnsi"/>
        <w:sz w:val="16"/>
        <w:szCs w:val="16"/>
      </w:rPr>
      <w:t>.</w:t>
    </w:r>
  </w:p>
  <w:p w14:paraId="1534EBA7" w14:textId="77777777" w:rsidR="00B7352D" w:rsidRPr="00212347" w:rsidRDefault="00B7352D">
    <w:pPr>
      <w:pStyle w:val="Pieddepage"/>
      <w:rPr>
        <w:rFonts w:asciiTheme="minorHAnsi" w:hAnsiTheme="minorHAnsi" w:cstheme="minorHAnsi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24057" w14:textId="77777777" w:rsidR="00212347" w:rsidRPr="00212347" w:rsidRDefault="00212347" w:rsidP="00212347">
    <w:pPr>
      <w:pStyle w:val="Pieddepage"/>
      <w:ind w:left="1985"/>
      <w:jc w:val="both"/>
      <w:rPr>
        <w:rFonts w:asciiTheme="minorHAnsi" w:hAnsiTheme="minorHAnsi" w:cstheme="minorHAnsi"/>
        <w:sz w:val="14"/>
        <w:szCs w:val="14"/>
      </w:rPr>
    </w:pPr>
    <w:r w:rsidRPr="00212347">
      <w:rPr>
        <w:rFonts w:asciiTheme="minorHAnsi" w:hAnsiTheme="minorHAnsi" w:cstheme="minorHAnsi"/>
        <w:sz w:val="14"/>
        <w:szCs w:val="14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4"/>
          <w:szCs w:val="14"/>
        </w:rPr>
        <w:t>www.telerecours.fr</w:t>
      </w:r>
    </w:hyperlink>
    <w:r w:rsidRPr="00212347">
      <w:rPr>
        <w:rFonts w:asciiTheme="minorHAnsi" w:hAnsiTheme="minorHAnsi" w:cstheme="minorHAnsi"/>
        <w:sz w:val="14"/>
        <w:szCs w:val="14"/>
      </w:rPr>
      <w:t>.</w:t>
    </w:r>
  </w:p>
  <w:p w14:paraId="2BDB1BF4" w14:textId="77777777" w:rsidR="00212347" w:rsidRDefault="002123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363A0" w14:textId="77777777" w:rsidR="0024532E" w:rsidRDefault="0024532E" w:rsidP="00B7352D">
      <w:r>
        <w:separator/>
      </w:r>
    </w:p>
  </w:footnote>
  <w:footnote w:type="continuationSeparator" w:id="0">
    <w:p w14:paraId="58EF3A81" w14:textId="77777777" w:rsidR="0024532E" w:rsidRDefault="0024532E" w:rsidP="00B7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9D1"/>
    <w:multiLevelType w:val="hybridMultilevel"/>
    <w:tmpl w:val="3FCC01F2"/>
    <w:lvl w:ilvl="0" w:tplc="F2985DBE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72FB1"/>
    <w:multiLevelType w:val="hybridMultilevel"/>
    <w:tmpl w:val="A620BA22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312F5"/>
    <w:multiLevelType w:val="hybridMultilevel"/>
    <w:tmpl w:val="F9FE1EF8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B2734"/>
    <w:multiLevelType w:val="singleLevel"/>
    <w:tmpl w:val="62C4829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E6145D5"/>
    <w:multiLevelType w:val="multilevel"/>
    <w:tmpl w:val="69C0504E"/>
    <w:lvl w:ilvl="0">
      <w:start w:val="1"/>
      <w:numFmt w:val="decimal"/>
      <w:pStyle w:val="Gesactpuc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4"/>
  </w:num>
  <w:num w:numId="6">
    <w:abstractNumId w:val="0"/>
  </w:num>
  <w:num w:numId="7">
    <w:abstractNumId w:val="4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9A"/>
    <w:rsid w:val="00000635"/>
    <w:rsid w:val="000012A8"/>
    <w:rsid w:val="0000214D"/>
    <w:rsid w:val="00003F5C"/>
    <w:rsid w:val="0000757D"/>
    <w:rsid w:val="0001004B"/>
    <w:rsid w:val="000156D7"/>
    <w:rsid w:val="00025E57"/>
    <w:rsid w:val="000261C7"/>
    <w:rsid w:val="00027E64"/>
    <w:rsid w:val="00030453"/>
    <w:rsid w:val="00033B16"/>
    <w:rsid w:val="00034256"/>
    <w:rsid w:val="0003594A"/>
    <w:rsid w:val="0004239F"/>
    <w:rsid w:val="00046213"/>
    <w:rsid w:val="00046E2C"/>
    <w:rsid w:val="000511A4"/>
    <w:rsid w:val="00053C56"/>
    <w:rsid w:val="000546F3"/>
    <w:rsid w:val="00055B3D"/>
    <w:rsid w:val="000563A1"/>
    <w:rsid w:val="00060544"/>
    <w:rsid w:val="00066306"/>
    <w:rsid w:val="00066A3B"/>
    <w:rsid w:val="00070868"/>
    <w:rsid w:val="00070C7D"/>
    <w:rsid w:val="00070F93"/>
    <w:rsid w:val="00072840"/>
    <w:rsid w:val="0007348D"/>
    <w:rsid w:val="00074E7C"/>
    <w:rsid w:val="00080373"/>
    <w:rsid w:val="00086CF2"/>
    <w:rsid w:val="00086FEB"/>
    <w:rsid w:val="00087D41"/>
    <w:rsid w:val="00092AE1"/>
    <w:rsid w:val="00096851"/>
    <w:rsid w:val="000A0D4B"/>
    <w:rsid w:val="000A3591"/>
    <w:rsid w:val="000A4074"/>
    <w:rsid w:val="000A4A14"/>
    <w:rsid w:val="000B1334"/>
    <w:rsid w:val="000B40D9"/>
    <w:rsid w:val="000B46C9"/>
    <w:rsid w:val="000C1C23"/>
    <w:rsid w:val="000C22A3"/>
    <w:rsid w:val="000C40DE"/>
    <w:rsid w:val="000D0EBA"/>
    <w:rsid w:val="000D1635"/>
    <w:rsid w:val="000D4D4A"/>
    <w:rsid w:val="000E0F68"/>
    <w:rsid w:val="000E33BA"/>
    <w:rsid w:val="000E3743"/>
    <w:rsid w:val="000E61E4"/>
    <w:rsid w:val="000E7C10"/>
    <w:rsid w:val="000F009A"/>
    <w:rsid w:val="000F42D3"/>
    <w:rsid w:val="00101E34"/>
    <w:rsid w:val="00106A41"/>
    <w:rsid w:val="00111551"/>
    <w:rsid w:val="0011385F"/>
    <w:rsid w:val="00116DE4"/>
    <w:rsid w:val="00116E63"/>
    <w:rsid w:val="001272B0"/>
    <w:rsid w:val="001316F8"/>
    <w:rsid w:val="00134A28"/>
    <w:rsid w:val="00137933"/>
    <w:rsid w:val="00143063"/>
    <w:rsid w:val="00143958"/>
    <w:rsid w:val="0015066D"/>
    <w:rsid w:val="00156F6F"/>
    <w:rsid w:val="00161F39"/>
    <w:rsid w:val="00163E98"/>
    <w:rsid w:val="00165AD9"/>
    <w:rsid w:val="001754A4"/>
    <w:rsid w:val="00177F8F"/>
    <w:rsid w:val="0019128C"/>
    <w:rsid w:val="00191A8F"/>
    <w:rsid w:val="00196404"/>
    <w:rsid w:val="0019779E"/>
    <w:rsid w:val="001A0501"/>
    <w:rsid w:val="001B07CF"/>
    <w:rsid w:val="001B11D8"/>
    <w:rsid w:val="001B2B35"/>
    <w:rsid w:val="001B30D2"/>
    <w:rsid w:val="001B36A0"/>
    <w:rsid w:val="001B5244"/>
    <w:rsid w:val="001C22AC"/>
    <w:rsid w:val="001D009C"/>
    <w:rsid w:val="001D09B6"/>
    <w:rsid w:val="001D0DBC"/>
    <w:rsid w:val="001D0E65"/>
    <w:rsid w:val="001E2305"/>
    <w:rsid w:val="001E243B"/>
    <w:rsid w:val="001E36E9"/>
    <w:rsid w:val="001E4D01"/>
    <w:rsid w:val="001E4FB0"/>
    <w:rsid w:val="001F0E01"/>
    <w:rsid w:val="001F1823"/>
    <w:rsid w:val="001F229B"/>
    <w:rsid w:val="002021D4"/>
    <w:rsid w:val="00203DB4"/>
    <w:rsid w:val="002047D5"/>
    <w:rsid w:val="00205395"/>
    <w:rsid w:val="00207D2A"/>
    <w:rsid w:val="00212347"/>
    <w:rsid w:val="00212586"/>
    <w:rsid w:val="002135D5"/>
    <w:rsid w:val="00223619"/>
    <w:rsid w:val="0022551A"/>
    <w:rsid w:val="00225690"/>
    <w:rsid w:val="002362DD"/>
    <w:rsid w:val="002365E5"/>
    <w:rsid w:val="00236A6E"/>
    <w:rsid w:val="00236FDD"/>
    <w:rsid w:val="00240C08"/>
    <w:rsid w:val="00243B35"/>
    <w:rsid w:val="002447A9"/>
    <w:rsid w:val="00244B78"/>
    <w:rsid w:val="0024532E"/>
    <w:rsid w:val="00250509"/>
    <w:rsid w:val="00252E63"/>
    <w:rsid w:val="0026079B"/>
    <w:rsid w:val="00261CE5"/>
    <w:rsid w:val="0026594F"/>
    <w:rsid w:val="00272F10"/>
    <w:rsid w:val="0028404B"/>
    <w:rsid w:val="002848BC"/>
    <w:rsid w:val="00295B01"/>
    <w:rsid w:val="00296A84"/>
    <w:rsid w:val="00296EB4"/>
    <w:rsid w:val="00297311"/>
    <w:rsid w:val="00297B17"/>
    <w:rsid w:val="002A45E0"/>
    <w:rsid w:val="002A531B"/>
    <w:rsid w:val="002B4DA5"/>
    <w:rsid w:val="002B7CCA"/>
    <w:rsid w:val="002C115B"/>
    <w:rsid w:val="002C1A52"/>
    <w:rsid w:val="002C54BD"/>
    <w:rsid w:val="002C59FF"/>
    <w:rsid w:val="002C789C"/>
    <w:rsid w:val="002D1812"/>
    <w:rsid w:val="002D2A2F"/>
    <w:rsid w:val="002D304B"/>
    <w:rsid w:val="002D66F9"/>
    <w:rsid w:val="002E086D"/>
    <w:rsid w:val="002E3B62"/>
    <w:rsid w:val="0030079F"/>
    <w:rsid w:val="0030314D"/>
    <w:rsid w:val="00304454"/>
    <w:rsid w:val="00304826"/>
    <w:rsid w:val="0030536A"/>
    <w:rsid w:val="003062AF"/>
    <w:rsid w:val="00311B55"/>
    <w:rsid w:val="003126AA"/>
    <w:rsid w:val="00312782"/>
    <w:rsid w:val="003161C2"/>
    <w:rsid w:val="003172A2"/>
    <w:rsid w:val="00317F55"/>
    <w:rsid w:val="00320DFD"/>
    <w:rsid w:val="00322702"/>
    <w:rsid w:val="00325624"/>
    <w:rsid w:val="00325B74"/>
    <w:rsid w:val="00332D7F"/>
    <w:rsid w:val="00334859"/>
    <w:rsid w:val="00335BC3"/>
    <w:rsid w:val="00336F24"/>
    <w:rsid w:val="00340AD5"/>
    <w:rsid w:val="00342ABE"/>
    <w:rsid w:val="0034526A"/>
    <w:rsid w:val="00346196"/>
    <w:rsid w:val="00347864"/>
    <w:rsid w:val="00350703"/>
    <w:rsid w:val="003528DA"/>
    <w:rsid w:val="00352F03"/>
    <w:rsid w:val="00354624"/>
    <w:rsid w:val="00355893"/>
    <w:rsid w:val="00356093"/>
    <w:rsid w:val="0035697A"/>
    <w:rsid w:val="00356A41"/>
    <w:rsid w:val="003608B3"/>
    <w:rsid w:val="00362BB3"/>
    <w:rsid w:val="0036471D"/>
    <w:rsid w:val="00365AF5"/>
    <w:rsid w:val="00370A68"/>
    <w:rsid w:val="00375984"/>
    <w:rsid w:val="00380028"/>
    <w:rsid w:val="00380926"/>
    <w:rsid w:val="0038200C"/>
    <w:rsid w:val="00386551"/>
    <w:rsid w:val="00390558"/>
    <w:rsid w:val="00390C80"/>
    <w:rsid w:val="00393197"/>
    <w:rsid w:val="0039329C"/>
    <w:rsid w:val="00394266"/>
    <w:rsid w:val="00395AA9"/>
    <w:rsid w:val="003A356D"/>
    <w:rsid w:val="003A607C"/>
    <w:rsid w:val="003B2C77"/>
    <w:rsid w:val="003B335B"/>
    <w:rsid w:val="003B6A5A"/>
    <w:rsid w:val="003B6B96"/>
    <w:rsid w:val="003B74CC"/>
    <w:rsid w:val="003B7D05"/>
    <w:rsid w:val="003C48F1"/>
    <w:rsid w:val="003C59EA"/>
    <w:rsid w:val="003C7A21"/>
    <w:rsid w:val="003D1CB3"/>
    <w:rsid w:val="003D286D"/>
    <w:rsid w:val="003D3E1E"/>
    <w:rsid w:val="003E7142"/>
    <w:rsid w:val="003F00E1"/>
    <w:rsid w:val="003F0999"/>
    <w:rsid w:val="003F678C"/>
    <w:rsid w:val="004173DC"/>
    <w:rsid w:val="004214AD"/>
    <w:rsid w:val="0042329E"/>
    <w:rsid w:val="00424601"/>
    <w:rsid w:val="00426957"/>
    <w:rsid w:val="00427026"/>
    <w:rsid w:val="00427B8E"/>
    <w:rsid w:val="004327DE"/>
    <w:rsid w:val="004344A6"/>
    <w:rsid w:val="004345A7"/>
    <w:rsid w:val="00435F3F"/>
    <w:rsid w:val="0043649B"/>
    <w:rsid w:val="00447398"/>
    <w:rsid w:val="00454FE6"/>
    <w:rsid w:val="004556BB"/>
    <w:rsid w:val="00462030"/>
    <w:rsid w:val="0047087C"/>
    <w:rsid w:val="00470AA9"/>
    <w:rsid w:val="00472689"/>
    <w:rsid w:val="00476AA1"/>
    <w:rsid w:val="00480D01"/>
    <w:rsid w:val="004838CD"/>
    <w:rsid w:val="00483BFD"/>
    <w:rsid w:val="0048547E"/>
    <w:rsid w:val="00491D8C"/>
    <w:rsid w:val="004934CC"/>
    <w:rsid w:val="00493E93"/>
    <w:rsid w:val="004A1BD5"/>
    <w:rsid w:val="004A5FF2"/>
    <w:rsid w:val="004B1F53"/>
    <w:rsid w:val="004C0DCB"/>
    <w:rsid w:val="004C702D"/>
    <w:rsid w:val="004C754D"/>
    <w:rsid w:val="004D0115"/>
    <w:rsid w:val="004D2549"/>
    <w:rsid w:val="004D7999"/>
    <w:rsid w:val="004E2AC4"/>
    <w:rsid w:val="004F149E"/>
    <w:rsid w:val="004F3125"/>
    <w:rsid w:val="004F5706"/>
    <w:rsid w:val="004F6C96"/>
    <w:rsid w:val="00500BC6"/>
    <w:rsid w:val="00501E27"/>
    <w:rsid w:val="005045DB"/>
    <w:rsid w:val="0050622F"/>
    <w:rsid w:val="00507EB5"/>
    <w:rsid w:val="00516E12"/>
    <w:rsid w:val="005237C4"/>
    <w:rsid w:val="00524274"/>
    <w:rsid w:val="00526727"/>
    <w:rsid w:val="00526731"/>
    <w:rsid w:val="00527125"/>
    <w:rsid w:val="005329DF"/>
    <w:rsid w:val="005358F1"/>
    <w:rsid w:val="005403C7"/>
    <w:rsid w:val="005416D6"/>
    <w:rsid w:val="005443DF"/>
    <w:rsid w:val="005459D3"/>
    <w:rsid w:val="00546CB8"/>
    <w:rsid w:val="00546D3B"/>
    <w:rsid w:val="00552D7A"/>
    <w:rsid w:val="005566EB"/>
    <w:rsid w:val="005578BE"/>
    <w:rsid w:val="00563F54"/>
    <w:rsid w:val="00565031"/>
    <w:rsid w:val="005700D9"/>
    <w:rsid w:val="00572F73"/>
    <w:rsid w:val="0057348B"/>
    <w:rsid w:val="00576C74"/>
    <w:rsid w:val="00587E3D"/>
    <w:rsid w:val="00591CA8"/>
    <w:rsid w:val="005A10CD"/>
    <w:rsid w:val="005A2623"/>
    <w:rsid w:val="005A3F69"/>
    <w:rsid w:val="005A6F28"/>
    <w:rsid w:val="005A7091"/>
    <w:rsid w:val="005B16D3"/>
    <w:rsid w:val="005B4DEF"/>
    <w:rsid w:val="005B5719"/>
    <w:rsid w:val="005B6B1D"/>
    <w:rsid w:val="005B796B"/>
    <w:rsid w:val="005C2F64"/>
    <w:rsid w:val="005C4758"/>
    <w:rsid w:val="005D126F"/>
    <w:rsid w:val="005D49B6"/>
    <w:rsid w:val="005D530A"/>
    <w:rsid w:val="005D5887"/>
    <w:rsid w:val="005E6C94"/>
    <w:rsid w:val="005F3F6D"/>
    <w:rsid w:val="005F44B4"/>
    <w:rsid w:val="006000D9"/>
    <w:rsid w:val="00601D32"/>
    <w:rsid w:val="00603669"/>
    <w:rsid w:val="0060428C"/>
    <w:rsid w:val="00617889"/>
    <w:rsid w:val="0061791C"/>
    <w:rsid w:val="006202B7"/>
    <w:rsid w:val="0062046C"/>
    <w:rsid w:val="00622417"/>
    <w:rsid w:val="00624172"/>
    <w:rsid w:val="006279C4"/>
    <w:rsid w:val="0063067C"/>
    <w:rsid w:val="006328BB"/>
    <w:rsid w:val="00632C5B"/>
    <w:rsid w:val="006400A1"/>
    <w:rsid w:val="0064077F"/>
    <w:rsid w:val="00641A82"/>
    <w:rsid w:val="006437C7"/>
    <w:rsid w:val="00646A6D"/>
    <w:rsid w:val="006511FC"/>
    <w:rsid w:val="006512B4"/>
    <w:rsid w:val="00656D90"/>
    <w:rsid w:val="00664AE5"/>
    <w:rsid w:val="006679D8"/>
    <w:rsid w:val="00670632"/>
    <w:rsid w:val="006718D8"/>
    <w:rsid w:val="00673A52"/>
    <w:rsid w:val="006902B9"/>
    <w:rsid w:val="00690AB1"/>
    <w:rsid w:val="00697819"/>
    <w:rsid w:val="006A35A6"/>
    <w:rsid w:val="006A3EAA"/>
    <w:rsid w:val="006B290C"/>
    <w:rsid w:val="006B3777"/>
    <w:rsid w:val="006C3607"/>
    <w:rsid w:val="006C7922"/>
    <w:rsid w:val="006C7C15"/>
    <w:rsid w:val="006D11C0"/>
    <w:rsid w:val="006D268A"/>
    <w:rsid w:val="006D37D9"/>
    <w:rsid w:val="006D38E1"/>
    <w:rsid w:val="006D49FA"/>
    <w:rsid w:val="006E1F0A"/>
    <w:rsid w:val="006F20B5"/>
    <w:rsid w:val="006F2DB6"/>
    <w:rsid w:val="006F68F3"/>
    <w:rsid w:val="006F6CD8"/>
    <w:rsid w:val="007009E2"/>
    <w:rsid w:val="007017AE"/>
    <w:rsid w:val="00702642"/>
    <w:rsid w:val="007029A4"/>
    <w:rsid w:val="00704B5A"/>
    <w:rsid w:val="0070598A"/>
    <w:rsid w:val="00707908"/>
    <w:rsid w:val="00711EA6"/>
    <w:rsid w:val="00712C56"/>
    <w:rsid w:val="00715DF8"/>
    <w:rsid w:val="007166FE"/>
    <w:rsid w:val="00722852"/>
    <w:rsid w:val="00727FEA"/>
    <w:rsid w:val="00730B3F"/>
    <w:rsid w:val="00732242"/>
    <w:rsid w:val="0074250C"/>
    <w:rsid w:val="00742EEA"/>
    <w:rsid w:val="00746F96"/>
    <w:rsid w:val="00750C53"/>
    <w:rsid w:val="0075339F"/>
    <w:rsid w:val="00753AD4"/>
    <w:rsid w:val="00754D1F"/>
    <w:rsid w:val="00767396"/>
    <w:rsid w:val="00767EA9"/>
    <w:rsid w:val="0077325B"/>
    <w:rsid w:val="007733EE"/>
    <w:rsid w:val="0077369E"/>
    <w:rsid w:val="00775CF5"/>
    <w:rsid w:val="00782CDF"/>
    <w:rsid w:val="007873C3"/>
    <w:rsid w:val="007901C4"/>
    <w:rsid w:val="00791364"/>
    <w:rsid w:val="00792141"/>
    <w:rsid w:val="0079393A"/>
    <w:rsid w:val="00793A14"/>
    <w:rsid w:val="00795270"/>
    <w:rsid w:val="00797694"/>
    <w:rsid w:val="007A3523"/>
    <w:rsid w:val="007A3975"/>
    <w:rsid w:val="007A43A4"/>
    <w:rsid w:val="007A5D7A"/>
    <w:rsid w:val="007A7CC6"/>
    <w:rsid w:val="007A7E75"/>
    <w:rsid w:val="007B004B"/>
    <w:rsid w:val="007B0EC8"/>
    <w:rsid w:val="007B1236"/>
    <w:rsid w:val="007C033C"/>
    <w:rsid w:val="007D1E37"/>
    <w:rsid w:val="007D786B"/>
    <w:rsid w:val="007E2AED"/>
    <w:rsid w:val="007E3C65"/>
    <w:rsid w:val="007F1C9C"/>
    <w:rsid w:val="007F2D9D"/>
    <w:rsid w:val="007F3A94"/>
    <w:rsid w:val="007F45A0"/>
    <w:rsid w:val="00800D14"/>
    <w:rsid w:val="00807FF4"/>
    <w:rsid w:val="0081143A"/>
    <w:rsid w:val="00813D35"/>
    <w:rsid w:val="00815B44"/>
    <w:rsid w:val="00817C9F"/>
    <w:rsid w:val="0082200D"/>
    <w:rsid w:val="008220D9"/>
    <w:rsid w:val="00824652"/>
    <w:rsid w:val="00825EA5"/>
    <w:rsid w:val="0082658F"/>
    <w:rsid w:val="00830B39"/>
    <w:rsid w:val="00831420"/>
    <w:rsid w:val="00831C1C"/>
    <w:rsid w:val="00834E52"/>
    <w:rsid w:val="00847193"/>
    <w:rsid w:val="00851DBA"/>
    <w:rsid w:val="00856E82"/>
    <w:rsid w:val="00857E9F"/>
    <w:rsid w:val="00863BDD"/>
    <w:rsid w:val="0086489A"/>
    <w:rsid w:val="00866316"/>
    <w:rsid w:val="00871F6A"/>
    <w:rsid w:val="0087414F"/>
    <w:rsid w:val="00875081"/>
    <w:rsid w:val="00890CF9"/>
    <w:rsid w:val="008A1AD3"/>
    <w:rsid w:val="008A2463"/>
    <w:rsid w:val="008A74F8"/>
    <w:rsid w:val="008B0A37"/>
    <w:rsid w:val="008B5CA4"/>
    <w:rsid w:val="008C09A9"/>
    <w:rsid w:val="008C3BBB"/>
    <w:rsid w:val="008C55DD"/>
    <w:rsid w:val="008D09E3"/>
    <w:rsid w:val="008D14AB"/>
    <w:rsid w:val="008D26EC"/>
    <w:rsid w:val="008D429E"/>
    <w:rsid w:val="008D49EA"/>
    <w:rsid w:val="008D50E4"/>
    <w:rsid w:val="008D7552"/>
    <w:rsid w:val="008F0418"/>
    <w:rsid w:val="008F0CFD"/>
    <w:rsid w:val="008F2D2A"/>
    <w:rsid w:val="008F33E2"/>
    <w:rsid w:val="008F3913"/>
    <w:rsid w:val="008F3FC4"/>
    <w:rsid w:val="008F6251"/>
    <w:rsid w:val="009010C6"/>
    <w:rsid w:val="0090536E"/>
    <w:rsid w:val="00911383"/>
    <w:rsid w:val="00911C2B"/>
    <w:rsid w:val="009148CC"/>
    <w:rsid w:val="0091499C"/>
    <w:rsid w:val="00916BB0"/>
    <w:rsid w:val="0091752F"/>
    <w:rsid w:val="00926689"/>
    <w:rsid w:val="009339D8"/>
    <w:rsid w:val="00934D3F"/>
    <w:rsid w:val="00934E49"/>
    <w:rsid w:val="009379B4"/>
    <w:rsid w:val="00945C47"/>
    <w:rsid w:val="0094617A"/>
    <w:rsid w:val="009470D3"/>
    <w:rsid w:val="00950387"/>
    <w:rsid w:val="00952C36"/>
    <w:rsid w:val="009532CD"/>
    <w:rsid w:val="0095531A"/>
    <w:rsid w:val="00966C15"/>
    <w:rsid w:val="00967600"/>
    <w:rsid w:val="00967F3B"/>
    <w:rsid w:val="00972FD0"/>
    <w:rsid w:val="009732FF"/>
    <w:rsid w:val="00973E76"/>
    <w:rsid w:val="00981CFC"/>
    <w:rsid w:val="009829BD"/>
    <w:rsid w:val="00983305"/>
    <w:rsid w:val="009A0D4C"/>
    <w:rsid w:val="009A236F"/>
    <w:rsid w:val="009A5EE3"/>
    <w:rsid w:val="009B0009"/>
    <w:rsid w:val="009B004C"/>
    <w:rsid w:val="009B1C79"/>
    <w:rsid w:val="009B1D8B"/>
    <w:rsid w:val="009B440C"/>
    <w:rsid w:val="009C007D"/>
    <w:rsid w:val="009C1BF1"/>
    <w:rsid w:val="009C218E"/>
    <w:rsid w:val="009C69A7"/>
    <w:rsid w:val="009D1279"/>
    <w:rsid w:val="009D363D"/>
    <w:rsid w:val="009E079B"/>
    <w:rsid w:val="009E2FD0"/>
    <w:rsid w:val="009E382C"/>
    <w:rsid w:val="009E4504"/>
    <w:rsid w:val="009F035D"/>
    <w:rsid w:val="009F734A"/>
    <w:rsid w:val="00A02F43"/>
    <w:rsid w:val="00A07DE9"/>
    <w:rsid w:val="00A125B1"/>
    <w:rsid w:val="00A17BDE"/>
    <w:rsid w:val="00A21286"/>
    <w:rsid w:val="00A26A1A"/>
    <w:rsid w:val="00A27CEA"/>
    <w:rsid w:val="00A3211C"/>
    <w:rsid w:val="00A33D18"/>
    <w:rsid w:val="00A44105"/>
    <w:rsid w:val="00A4572F"/>
    <w:rsid w:val="00A473C7"/>
    <w:rsid w:val="00A47D57"/>
    <w:rsid w:val="00A50FB0"/>
    <w:rsid w:val="00A53D36"/>
    <w:rsid w:val="00A56478"/>
    <w:rsid w:val="00A577CE"/>
    <w:rsid w:val="00A6625E"/>
    <w:rsid w:val="00A71D38"/>
    <w:rsid w:val="00A72879"/>
    <w:rsid w:val="00A730C0"/>
    <w:rsid w:val="00A75FE2"/>
    <w:rsid w:val="00A76B39"/>
    <w:rsid w:val="00A81C2D"/>
    <w:rsid w:val="00A81D30"/>
    <w:rsid w:val="00A82160"/>
    <w:rsid w:val="00A85D1C"/>
    <w:rsid w:val="00A9221E"/>
    <w:rsid w:val="00A9419F"/>
    <w:rsid w:val="00A95DB3"/>
    <w:rsid w:val="00A96CA9"/>
    <w:rsid w:val="00A97371"/>
    <w:rsid w:val="00A97463"/>
    <w:rsid w:val="00A97509"/>
    <w:rsid w:val="00AA075D"/>
    <w:rsid w:val="00AB08A8"/>
    <w:rsid w:val="00AB3575"/>
    <w:rsid w:val="00AB3888"/>
    <w:rsid w:val="00AB5F04"/>
    <w:rsid w:val="00AC0CAE"/>
    <w:rsid w:val="00AC5442"/>
    <w:rsid w:val="00AD1087"/>
    <w:rsid w:val="00AD1B80"/>
    <w:rsid w:val="00AD7820"/>
    <w:rsid w:val="00AE253E"/>
    <w:rsid w:val="00AE33CB"/>
    <w:rsid w:val="00AE50CA"/>
    <w:rsid w:val="00AF1E3D"/>
    <w:rsid w:val="00AF2C39"/>
    <w:rsid w:val="00AF34DC"/>
    <w:rsid w:val="00AF7329"/>
    <w:rsid w:val="00AF7889"/>
    <w:rsid w:val="00B01B0A"/>
    <w:rsid w:val="00B06B71"/>
    <w:rsid w:val="00B12181"/>
    <w:rsid w:val="00B1241C"/>
    <w:rsid w:val="00B13376"/>
    <w:rsid w:val="00B15C0A"/>
    <w:rsid w:val="00B17B9B"/>
    <w:rsid w:val="00B2224A"/>
    <w:rsid w:val="00B24A96"/>
    <w:rsid w:val="00B267A6"/>
    <w:rsid w:val="00B351D0"/>
    <w:rsid w:val="00B3530A"/>
    <w:rsid w:val="00B40712"/>
    <w:rsid w:val="00B41B15"/>
    <w:rsid w:val="00B43AED"/>
    <w:rsid w:val="00B50350"/>
    <w:rsid w:val="00B51698"/>
    <w:rsid w:val="00B519D0"/>
    <w:rsid w:val="00B52B72"/>
    <w:rsid w:val="00B53F43"/>
    <w:rsid w:val="00B5610C"/>
    <w:rsid w:val="00B56AD0"/>
    <w:rsid w:val="00B6301A"/>
    <w:rsid w:val="00B64444"/>
    <w:rsid w:val="00B6493C"/>
    <w:rsid w:val="00B67A86"/>
    <w:rsid w:val="00B67FD9"/>
    <w:rsid w:val="00B7186F"/>
    <w:rsid w:val="00B724CD"/>
    <w:rsid w:val="00B7266A"/>
    <w:rsid w:val="00B72D53"/>
    <w:rsid w:val="00B73181"/>
    <w:rsid w:val="00B7352D"/>
    <w:rsid w:val="00B744D1"/>
    <w:rsid w:val="00B81F5D"/>
    <w:rsid w:val="00B842B9"/>
    <w:rsid w:val="00B84DB9"/>
    <w:rsid w:val="00B8530C"/>
    <w:rsid w:val="00B9194A"/>
    <w:rsid w:val="00B93C6C"/>
    <w:rsid w:val="00B94E6A"/>
    <w:rsid w:val="00BA305E"/>
    <w:rsid w:val="00BA71AF"/>
    <w:rsid w:val="00BB0B8F"/>
    <w:rsid w:val="00BB4C4F"/>
    <w:rsid w:val="00BB5C06"/>
    <w:rsid w:val="00BB6035"/>
    <w:rsid w:val="00BB69E1"/>
    <w:rsid w:val="00BC01D9"/>
    <w:rsid w:val="00BC43C5"/>
    <w:rsid w:val="00BC4491"/>
    <w:rsid w:val="00BC631D"/>
    <w:rsid w:val="00BC65B1"/>
    <w:rsid w:val="00BD1EE7"/>
    <w:rsid w:val="00BD3B15"/>
    <w:rsid w:val="00BD3C86"/>
    <w:rsid w:val="00BE0FD7"/>
    <w:rsid w:val="00BE2C29"/>
    <w:rsid w:val="00BF2026"/>
    <w:rsid w:val="00BF5704"/>
    <w:rsid w:val="00C00313"/>
    <w:rsid w:val="00C01AED"/>
    <w:rsid w:val="00C04F08"/>
    <w:rsid w:val="00C06A31"/>
    <w:rsid w:val="00C11F47"/>
    <w:rsid w:val="00C12601"/>
    <w:rsid w:val="00C14FEF"/>
    <w:rsid w:val="00C214AA"/>
    <w:rsid w:val="00C27C97"/>
    <w:rsid w:val="00C300D8"/>
    <w:rsid w:val="00C33B4D"/>
    <w:rsid w:val="00C36EB8"/>
    <w:rsid w:val="00C402E0"/>
    <w:rsid w:val="00C44322"/>
    <w:rsid w:val="00C44A34"/>
    <w:rsid w:val="00C501C7"/>
    <w:rsid w:val="00C51289"/>
    <w:rsid w:val="00C54FE2"/>
    <w:rsid w:val="00C56AA6"/>
    <w:rsid w:val="00C56DC9"/>
    <w:rsid w:val="00C67A21"/>
    <w:rsid w:val="00C74135"/>
    <w:rsid w:val="00C7415D"/>
    <w:rsid w:val="00C749C2"/>
    <w:rsid w:val="00C74E56"/>
    <w:rsid w:val="00C7743B"/>
    <w:rsid w:val="00C860B4"/>
    <w:rsid w:val="00C86349"/>
    <w:rsid w:val="00C90FA9"/>
    <w:rsid w:val="00C93917"/>
    <w:rsid w:val="00C9398B"/>
    <w:rsid w:val="00C94B0D"/>
    <w:rsid w:val="00CA7116"/>
    <w:rsid w:val="00CB1BB5"/>
    <w:rsid w:val="00CB5ED1"/>
    <w:rsid w:val="00CB6C6F"/>
    <w:rsid w:val="00CC034A"/>
    <w:rsid w:val="00CC138C"/>
    <w:rsid w:val="00CC1FED"/>
    <w:rsid w:val="00CC719F"/>
    <w:rsid w:val="00CC72B1"/>
    <w:rsid w:val="00CD20B1"/>
    <w:rsid w:val="00CD3122"/>
    <w:rsid w:val="00CD3282"/>
    <w:rsid w:val="00CD5A2D"/>
    <w:rsid w:val="00CD5D1A"/>
    <w:rsid w:val="00CD7A94"/>
    <w:rsid w:val="00CE2AE1"/>
    <w:rsid w:val="00CE33DE"/>
    <w:rsid w:val="00CE4BF2"/>
    <w:rsid w:val="00CE62E6"/>
    <w:rsid w:val="00CE64D5"/>
    <w:rsid w:val="00CE6D11"/>
    <w:rsid w:val="00CE7F6B"/>
    <w:rsid w:val="00CF1AE6"/>
    <w:rsid w:val="00CF2B4B"/>
    <w:rsid w:val="00CF3271"/>
    <w:rsid w:val="00D06C5D"/>
    <w:rsid w:val="00D106AF"/>
    <w:rsid w:val="00D12B9C"/>
    <w:rsid w:val="00D12DE1"/>
    <w:rsid w:val="00D131E9"/>
    <w:rsid w:val="00D200CD"/>
    <w:rsid w:val="00D226D9"/>
    <w:rsid w:val="00D22EA6"/>
    <w:rsid w:val="00D2318C"/>
    <w:rsid w:val="00D25AA2"/>
    <w:rsid w:val="00D308FA"/>
    <w:rsid w:val="00D324CE"/>
    <w:rsid w:val="00D44308"/>
    <w:rsid w:val="00D47B84"/>
    <w:rsid w:val="00D5666C"/>
    <w:rsid w:val="00D566B2"/>
    <w:rsid w:val="00D56852"/>
    <w:rsid w:val="00D61F97"/>
    <w:rsid w:val="00D628A6"/>
    <w:rsid w:val="00D62A29"/>
    <w:rsid w:val="00D65F51"/>
    <w:rsid w:val="00D708B1"/>
    <w:rsid w:val="00D70D5C"/>
    <w:rsid w:val="00D7259C"/>
    <w:rsid w:val="00D72F25"/>
    <w:rsid w:val="00D73ED5"/>
    <w:rsid w:val="00D7759E"/>
    <w:rsid w:val="00D8139C"/>
    <w:rsid w:val="00D814A8"/>
    <w:rsid w:val="00D8183F"/>
    <w:rsid w:val="00D83266"/>
    <w:rsid w:val="00D83E81"/>
    <w:rsid w:val="00D8635B"/>
    <w:rsid w:val="00D93BE8"/>
    <w:rsid w:val="00D962B6"/>
    <w:rsid w:val="00DA457C"/>
    <w:rsid w:val="00DA5D25"/>
    <w:rsid w:val="00DA65C6"/>
    <w:rsid w:val="00DA6EEA"/>
    <w:rsid w:val="00DB57B2"/>
    <w:rsid w:val="00DB6CF6"/>
    <w:rsid w:val="00DC18EB"/>
    <w:rsid w:val="00DD1805"/>
    <w:rsid w:val="00DD3267"/>
    <w:rsid w:val="00DD4508"/>
    <w:rsid w:val="00DD5D0A"/>
    <w:rsid w:val="00DD5D8A"/>
    <w:rsid w:val="00DD630F"/>
    <w:rsid w:val="00DD698A"/>
    <w:rsid w:val="00DD77D4"/>
    <w:rsid w:val="00DF27CF"/>
    <w:rsid w:val="00DF2EE8"/>
    <w:rsid w:val="00DF34CC"/>
    <w:rsid w:val="00E03073"/>
    <w:rsid w:val="00E11A21"/>
    <w:rsid w:val="00E21024"/>
    <w:rsid w:val="00E22F25"/>
    <w:rsid w:val="00E23D0F"/>
    <w:rsid w:val="00E24090"/>
    <w:rsid w:val="00E30C55"/>
    <w:rsid w:val="00E339F2"/>
    <w:rsid w:val="00E35910"/>
    <w:rsid w:val="00E369E8"/>
    <w:rsid w:val="00E43120"/>
    <w:rsid w:val="00E527BF"/>
    <w:rsid w:val="00E55F4D"/>
    <w:rsid w:val="00E56A38"/>
    <w:rsid w:val="00E632D7"/>
    <w:rsid w:val="00E6725C"/>
    <w:rsid w:val="00E70206"/>
    <w:rsid w:val="00E71F8F"/>
    <w:rsid w:val="00E822B1"/>
    <w:rsid w:val="00E8504B"/>
    <w:rsid w:val="00E8761F"/>
    <w:rsid w:val="00E909E1"/>
    <w:rsid w:val="00E9273E"/>
    <w:rsid w:val="00EA785D"/>
    <w:rsid w:val="00EB01A1"/>
    <w:rsid w:val="00EB35DA"/>
    <w:rsid w:val="00EC07C3"/>
    <w:rsid w:val="00EC64AE"/>
    <w:rsid w:val="00EC74FD"/>
    <w:rsid w:val="00ED234E"/>
    <w:rsid w:val="00ED4F52"/>
    <w:rsid w:val="00ED5789"/>
    <w:rsid w:val="00ED6D55"/>
    <w:rsid w:val="00ED6E06"/>
    <w:rsid w:val="00EE1BDC"/>
    <w:rsid w:val="00EE29EA"/>
    <w:rsid w:val="00EE5D91"/>
    <w:rsid w:val="00EE748B"/>
    <w:rsid w:val="00EE7AD6"/>
    <w:rsid w:val="00EF1A1D"/>
    <w:rsid w:val="00EF2F3D"/>
    <w:rsid w:val="00F02B8A"/>
    <w:rsid w:val="00F15B77"/>
    <w:rsid w:val="00F171DE"/>
    <w:rsid w:val="00F23706"/>
    <w:rsid w:val="00F23BA9"/>
    <w:rsid w:val="00F255D8"/>
    <w:rsid w:val="00F266B0"/>
    <w:rsid w:val="00F317F6"/>
    <w:rsid w:val="00F31943"/>
    <w:rsid w:val="00F32B2B"/>
    <w:rsid w:val="00F3465B"/>
    <w:rsid w:val="00F357E2"/>
    <w:rsid w:val="00F41620"/>
    <w:rsid w:val="00F51F6B"/>
    <w:rsid w:val="00F54AE2"/>
    <w:rsid w:val="00F57C05"/>
    <w:rsid w:val="00F60029"/>
    <w:rsid w:val="00F63A29"/>
    <w:rsid w:val="00F65F87"/>
    <w:rsid w:val="00F72EF3"/>
    <w:rsid w:val="00F8203B"/>
    <w:rsid w:val="00F82182"/>
    <w:rsid w:val="00F83E82"/>
    <w:rsid w:val="00F851F6"/>
    <w:rsid w:val="00F94B00"/>
    <w:rsid w:val="00F959BA"/>
    <w:rsid w:val="00F95C47"/>
    <w:rsid w:val="00F95E03"/>
    <w:rsid w:val="00FA00C6"/>
    <w:rsid w:val="00FA4E77"/>
    <w:rsid w:val="00FA606F"/>
    <w:rsid w:val="00FA6AAF"/>
    <w:rsid w:val="00FB4F4B"/>
    <w:rsid w:val="00FB697D"/>
    <w:rsid w:val="00FC02BD"/>
    <w:rsid w:val="00FC2510"/>
    <w:rsid w:val="00FC2D8D"/>
    <w:rsid w:val="00FC4E8C"/>
    <w:rsid w:val="00FD396F"/>
    <w:rsid w:val="00FE2158"/>
    <w:rsid w:val="00FE4E47"/>
    <w:rsid w:val="00FE4EB8"/>
    <w:rsid w:val="00FE6CCB"/>
    <w:rsid w:val="00FE7583"/>
    <w:rsid w:val="00FF1458"/>
    <w:rsid w:val="00FF242B"/>
    <w:rsid w:val="00FF28B4"/>
    <w:rsid w:val="00FF2B28"/>
    <w:rsid w:val="00FF3B7C"/>
    <w:rsid w:val="00FF4C82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9EAF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476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SOTTEVILLE LES ROUEN</vt:lpstr>
    </vt:vector>
  </TitlesOfParts>
  <Company>Mairie Sotteville lès Rouen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SOTTEVILLE LES ROUEN</dc:title>
  <dc:creator>Mairie Sotteville lès Rouen</dc:creator>
  <cp:lastModifiedBy>BAYKAL Delphine</cp:lastModifiedBy>
  <cp:revision>5</cp:revision>
  <cp:lastPrinted>2020-12-01T14:28:00Z</cp:lastPrinted>
  <dcterms:created xsi:type="dcterms:W3CDTF">2024-08-01T08:01:00Z</dcterms:created>
  <dcterms:modified xsi:type="dcterms:W3CDTF">2024-08-02T10:07:00Z</dcterms:modified>
</cp:coreProperties>
</file>